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720" w:firstLineChars="200"/>
        <w:rPr>
          <w:rFonts w:ascii="Times New Roman" w:hAnsi="Times New Roman" w:eastAsia="方正小标宋简体" w:cs="Times New Roman"/>
          <w:sz w:val="36"/>
          <w:szCs w:val="36"/>
        </w:rPr>
      </w:pPr>
      <w:bookmarkStart w:id="0" w:name="_GoBack"/>
      <w:bookmarkEnd w:id="0"/>
    </w:p>
    <w:p>
      <w:pPr>
        <w:adjustRightInd w:val="0"/>
        <w:snapToGrid w:val="0"/>
        <w:spacing w:line="560" w:lineRule="exact"/>
        <w:ind w:firstLine="640" w:firstLineChars="200"/>
        <w:rPr>
          <w:rFonts w:ascii="方正小标宋简体" w:hAnsi="方正小标宋简体" w:eastAsia="方正小标宋简体" w:cs="方正小标宋简体"/>
          <w:sz w:val="32"/>
          <w:szCs w:val="32"/>
        </w:rPr>
      </w:pPr>
    </w:p>
    <w:p>
      <w:pPr>
        <w:adjustRightInd w:val="0"/>
        <w:snapToGrid w:val="0"/>
        <w:spacing w:line="560" w:lineRule="exact"/>
        <w:ind w:firstLine="560" w:firstLineChars="200"/>
        <w:jc w:val="right"/>
        <w:rPr>
          <w:rFonts w:ascii="方正小标宋简体" w:hAnsi="方正小标宋简体" w:eastAsia="方正小标宋简体" w:cs="方正小标宋简体"/>
          <w:sz w:val="28"/>
          <w:szCs w:val="32"/>
        </w:rPr>
      </w:pPr>
    </w:p>
    <w:p>
      <w:pPr>
        <w:adjustRightInd w:val="0"/>
        <w:snapToGrid w:val="0"/>
        <w:spacing w:line="560" w:lineRule="exact"/>
        <w:ind w:firstLine="640" w:firstLineChars="2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教高〔2019〕</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号</w:t>
      </w:r>
    </w:p>
    <w:p>
      <w:pPr>
        <w:adjustRightInd w:val="0"/>
        <w:snapToGrid w:val="0"/>
        <w:spacing w:line="560" w:lineRule="exact"/>
        <w:jc w:val="center"/>
        <w:rPr>
          <w:rFonts w:ascii="方正小标宋简体" w:eastAsia="方正小标宋简体"/>
          <w:sz w:val="44"/>
          <w:szCs w:val="44"/>
        </w:rPr>
      </w:pPr>
    </w:p>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教育部关于一流本科课程</w:t>
      </w:r>
      <w:r>
        <w:rPr>
          <w:rFonts w:ascii="方正小标宋简体" w:eastAsia="方正小标宋简体"/>
          <w:sz w:val="44"/>
          <w:szCs w:val="44"/>
        </w:rPr>
        <w:t>建设</w:t>
      </w:r>
      <w:r>
        <w:rPr>
          <w:rFonts w:hint="eastAsia" w:ascii="方正小标宋简体" w:eastAsia="方正小标宋简体"/>
          <w:sz w:val="44"/>
          <w:szCs w:val="44"/>
        </w:rPr>
        <w:t>的实施意见</w:t>
      </w:r>
    </w:p>
    <w:p>
      <w:pPr>
        <w:adjustRightInd w:val="0"/>
        <w:snapToGrid w:val="0"/>
        <w:spacing w:line="560" w:lineRule="exact"/>
        <w:ind w:firstLine="640" w:firstLineChars="200"/>
        <w:rPr>
          <w:rFonts w:ascii="楷体_GB2312" w:eastAsia="楷体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各省、自治区、直辖市教育厅（教委）,新疆生产建设兵团教育局,有关</w:t>
      </w:r>
      <w:r>
        <w:rPr>
          <w:rFonts w:ascii="仿宋_GB2312" w:eastAsia="仿宋_GB2312"/>
          <w:sz w:val="32"/>
          <w:szCs w:val="32"/>
        </w:rPr>
        <w:t>部门（</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教育司</w:t>
      </w:r>
      <w:r>
        <w:rPr>
          <w:rFonts w:ascii="仿宋_GB2312" w:eastAsia="仿宋_GB2312"/>
          <w:sz w:val="32"/>
          <w:szCs w:val="32"/>
        </w:rPr>
        <w:t>（</w:t>
      </w:r>
      <w:r>
        <w:rPr>
          <w:rFonts w:hint="eastAsia" w:ascii="仿宋_GB2312" w:eastAsia="仿宋_GB2312"/>
          <w:sz w:val="32"/>
          <w:szCs w:val="32"/>
        </w:rPr>
        <w:t>局</w:t>
      </w:r>
      <w:r>
        <w:rPr>
          <w:rFonts w:ascii="仿宋_GB2312" w:eastAsia="仿宋_GB2312"/>
          <w:sz w:val="32"/>
          <w:szCs w:val="32"/>
        </w:rPr>
        <w:t>）</w:t>
      </w:r>
      <w:r>
        <w:rPr>
          <w:rFonts w:hint="eastAsia" w:ascii="仿宋_GB2312" w:eastAsia="仿宋_GB2312"/>
          <w:sz w:val="32"/>
          <w:szCs w:val="32"/>
        </w:rPr>
        <w:t>，部属各高等学校、部省合建</w:t>
      </w:r>
      <w:r>
        <w:rPr>
          <w:rFonts w:ascii="仿宋_GB2312" w:eastAsia="仿宋_GB2312"/>
          <w:sz w:val="32"/>
          <w:szCs w:val="32"/>
        </w:rPr>
        <w:t>各高等学校</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w:t>
      </w:r>
      <w:r>
        <w:rPr>
          <w:rFonts w:ascii="仿宋_GB2312" w:eastAsia="仿宋_GB2312"/>
          <w:sz w:val="32"/>
          <w:szCs w:val="32"/>
        </w:rPr>
        <w:t>现就</w:t>
      </w:r>
      <w:r>
        <w:rPr>
          <w:rFonts w:hint="eastAsia" w:ascii="仿宋_GB2312" w:eastAsia="仿宋_GB2312"/>
          <w:sz w:val="32"/>
          <w:szCs w:val="32"/>
        </w:rPr>
        <w:t>一流本科课程建设提出如下实施意见。</w:t>
      </w:r>
    </w:p>
    <w:p>
      <w:pPr>
        <w:pStyle w:val="2"/>
        <w:adjustRightInd w:val="0"/>
        <w:snapToGrid w:val="0"/>
        <w:spacing w:before="0" w:after="0" w:line="560" w:lineRule="exact"/>
        <w:ind w:firstLine="640" w:firstLineChars="200"/>
        <w:rPr>
          <w:rFonts w:ascii="黑体" w:hAnsi="黑体" w:eastAsia="黑体" w:cs="黑体"/>
          <w:b w:val="0"/>
          <w:bCs w:val="0"/>
          <w:sz w:val="32"/>
        </w:rPr>
      </w:pPr>
      <w:r>
        <w:rPr>
          <w:rFonts w:hint="eastAsia" w:ascii="黑体" w:hAnsi="黑体" w:eastAsia="黑体" w:cs="黑体"/>
          <w:b w:val="0"/>
          <w:bCs w:val="0"/>
          <w:sz w:val="32"/>
        </w:rPr>
        <w:t>一、总体要求</w:t>
      </w:r>
    </w:p>
    <w:p>
      <w:pPr>
        <w:pStyle w:val="2"/>
        <w:adjustRightInd w:val="0"/>
        <w:snapToGrid w:val="0"/>
        <w:spacing w:before="0" w:after="0" w:line="560" w:lineRule="exact"/>
        <w:ind w:firstLine="643" w:firstLineChars="200"/>
        <w:rPr>
          <w:rFonts w:ascii="楷体" w:hAnsi="楷体" w:eastAsia="楷体" w:cs="楷体"/>
          <w:sz w:val="32"/>
        </w:rPr>
      </w:pPr>
      <w:r>
        <w:rPr>
          <w:rFonts w:hint="eastAsia" w:ascii="楷体" w:hAnsi="楷体" w:eastAsia="楷体" w:cs="楷体"/>
          <w:sz w:val="32"/>
        </w:rPr>
        <w:t>（一）指导思想</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以习近平新时代中国特色社会主义思想为指导，</w:t>
      </w:r>
      <w:r>
        <w:rPr>
          <w:rFonts w:hint="eastAsia" w:ascii="仿宋_GB2312" w:hAnsi="宋体" w:eastAsia="仿宋_GB2312"/>
          <w:sz w:val="32"/>
          <w:szCs w:val="32"/>
          <w:lang w:eastAsia="zh-CN"/>
        </w:rPr>
        <w:t>贯彻落实</w:t>
      </w:r>
      <w:r>
        <w:rPr>
          <w:rFonts w:hint="eastAsia" w:ascii="仿宋_GB2312" w:hAnsi="宋体" w:eastAsia="仿宋_GB2312"/>
          <w:sz w:val="32"/>
          <w:szCs w:val="32"/>
        </w:rPr>
        <w:t>党的十九大精神</w:t>
      </w:r>
      <w:r>
        <w:rPr>
          <w:rFonts w:hint="eastAsia" w:ascii="仿宋_GB2312" w:hAnsi="宋体" w:eastAsia="仿宋_GB2312"/>
          <w:sz w:val="32"/>
          <w:szCs w:val="32"/>
          <w:lang w:eastAsia="zh-CN"/>
        </w:rPr>
        <w:t>，</w:t>
      </w:r>
      <w:r>
        <w:rPr>
          <w:rFonts w:hint="eastAsia" w:ascii="仿宋_GB2312" w:hAnsi="宋体" w:eastAsia="仿宋_GB2312"/>
          <w:sz w:val="32"/>
          <w:szCs w:val="32"/>
        </w:rPr>
        <w:t>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pStyle w:val="2"/>
        <w:adjustRightInd w:val="0"/>
        <w:snapToGrid w:val="0"/>
        <w:spacing w:before="0" w:after="0" w:line="560" w:lineRule="exact"/>
        <w:ind w:firstLine="643" w:firstLineChars="200"/>
        <w:rPr>
          <w:rFonts w:ascii="楷体" w:hAnsi="楷体" w:eastAsia="楷体" w:cs="楷体"/>
          <w:sz w:val="32"/>
        </w:rPr>
      </w:pPr>
      <w:r>
        <w:rPr>
          <w:rFonts w:hint="eastAsia" w:ascii="楷体" w:hAnsi="楷体" w:eastAsia="楷体" w:cs="楷体"/>
          <w:sz w:val="32"/>
        </w:rPr>
        <w:t>（二）总体目标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全面开展一流本科课程建设，树立课程建设新理念，推进课程改革创新，实施科学课程评价，严格课程管理，</w:t>
      </w:r>
      <w:r>
        <w:rPr>
          <w:rFonts w:ascii="仿宋_GB2312" w:eastAsia="仿宋_GB2312"/>
          <w:sz w:val="32"/>
          <w:szCs w:val="32"/>
        </w:rPr>
        <w:t>立起教授上课、消灭</w:t>
      </w:r>
      <w:r>
        <w:rPr>
          <w:rFonts w:hint="eastAsia" w:ascii="仿宋_GB2312" w:eastAsia="仿宋_GB2312"/>
          <w:sz w:val="32"/>
          <w:szCs w:val="32"/>
        </w:rPr>
        <w:t>“</w:t>
      </w:r>
      <w:r>
        <w:rPr>
          <w:rFonts w:ascii="仿宋_GB2312" w:eastAsia="仿宋_GB2312"/>
          <w:sz w:val="32"/>
          <w:szCs w:val="32"/>
        </w:rPr>
        <w:t>水课</w:t>
      </w:r>
      <w:r>
        <w:rPr>
          <w:rFonts w:hint="eastAsia" w:ascii="仿宋_GB2312" w:eastAsia="仿宋_GB2312"/>
          <w:sz w:val="32"/>
          <w:szCs w:val="32"/>
        </w:rPr>
        <w:t>”</w:t>
      </w:r>
      <w:r>
        <w:rPr>
          <w:rFonts w:ascii="仿宋_GB2312" w:eastAsia="仿宋_GB2312"/>
          <w:sz w:val="32"/>
          <w:szCs w:val="32"/>
        </w:rPr>
        <w:t>、取消</w:t>
      </w:r>
      <w:r>
        <w:rPr>
          <w:rFonts w:hint="eastAsia" w:ascii="仿宋_GB2312" w:eastAsia="仿宋_GB2312"/>
          <w:sz w:val="32"/>
          <w:szCs w:val="32"/>
        </w:rPr>
        <w:t>“</w:t>
      </w:r>
      <w:r>
        <w:rPr>
          <w:rFonts w:ascii="仿宋_GB2312" w:eastAsia="仿宋_GB2312"/>
          <w:sz w:val="32"/>
          <w:szCs w:val="32"/>
        </w:rPr>
        <w:t>清考</w:t>
      </w:r>
      <w:r>
        <w:rPr>
          <w:rFonts w:hint="eastAsia" w:ascii="仿宋_GB2312" w:eastAsia="仿宋_GB2312"/>
          <w:sz w:val="32"/>
          <w:szCs w:val="32"/>
        </w:rPr>
        <w:t>”等</w:t>
      </w:r>
      <w:r>
        <w:rPr>
          <w:rFonts w:ascii="仿宋_GB2312" w:eastAsia="仿宋_GB2312"/>
          <w:sz w:val="32"/>
          <w:szCs w:val="32"/>
        </w:rPr>
        <w:t>硬规矩</w:t>
      </w:r>
      <w:r>
        <w:rPr>
          <w:rFonts w:hint="eastAsia" w:ascii="仿宋_GB2312" w:eastAsia="仿宋_GB2312"/>
          <w:sz w:val="32"/>
          <w:szCs w:val="32"/>
        </w:rPr>
        <w:t>，夯实基层教学组织，提高教师教学能力，</w:t>
      </w:r>
      <w:r>
        <w:rPr>
          <w:rFonts w:ascii="仿宋_GB2312" w:eastAsia="仿宋_GB2312"/>
          <w:sz w:val="32"/>
          <w:szCs w:val="32"/>
        </w:rPr>
        <w:t>完善</w:t>
      </w:r>
      <w:r>
        <w:rPr>
          <w:rFonts w:hint="eastAsia" w:ascii="仿宋_GB2312" w:eastAsia="仿宋_GB2312"/>
          <w:sz w:val="32"/>
          <w:szCs w:val="32"/>
        </w:rPr>
        <w:t>以质量为导向的课程建设激励机制，形成多类型、多样化的教学内容与课程体系。经过三年左右时间，</w:t>
      </w:r>
      <w:r>
        <w:rPr>
          <w:rFonts w:ascii="仿宋_GB2312" w:eastAsia="仿宋_GB2312"/>
          <w:sz w:val="32"/>
          <w:szCs w:val="32"/>
        </w:rPr>
        <w:t>建</w:t>
      </w:r>
      <w:r>
        <w:rPr>
          <w:rFonts w:hint="eastAsia" w:ascii="仿宋_GB2312" w:eastAsia="仿宋_GB2312"/>
          <w:sz w:val="32"/>
          <w:szCs w:val="32"/>
        </w:rPr>
        <w:t>成</w:t>
      </w:r>
      <w:r>
        <w:rPr>
          <w:rFonts w:ascii="仿宋_GB2312" w:eastAsia="仿宋_GB2312"/>
          <w:sz w:val="32"/>
          <w:szCs w:val="32"/>
        </w:rPr>
        <w:t>万门左右国家级和万门左右省级一流</w:t>
      </w:r>
      <w:r>
        <w:rPr>
          <w:rFonts w:hint="eastAsia" w:ascii="仿宋_GB2312" w:eastAsia="仿宋_GB2312"/>
          <w:sz w:val="32"/>
          <w:szCs w:val="32"/>
        </w:rPr>
        <w:t>本科</w:t>
      </w:r>
      <w:r>
        <w:rPr>
          <w:rFonts w:ascii="仿宋_GB2312" w:eastAsia="仿宋_GB2312"/>
          <w:sz w:val="32"/>
          <w:szCs w:val="32"/>
        </w:rPr>
        <w:t>课程</w:t>
      </w:r>
      <w:r>
        <w:rPr>
          <w:rFonts w:hint="eastAsia" w:ascii="仿宋_GB2312" w:eastAsia="仿宋_GB2312"/>
          <w:sz w:val="32"/>
          <w:szCs w:val="32"/>
        </w:rPr>
        <w:t>（简称一流本科课程“双万计划”）。</w:t>
      </w:r>
    </w:p>
    <w:p>
      <w:pPr>
        <w:pStyle w:val="2"/>
        <w:adjustRightInd w:val="0"/>
        <w:snapToGrid w:val="0"/>
        <w:spacing w:before="0" w:after="0" w:line="560" w:lineRule="exact"/>
        <w:ind w:firstLine="643" w:firstLineChars="200"/>
        <w:rPr>
          <w:rFonts w:ascii="楷体" w:hAnsi="楷体" w:eastAsia="楷体" w:cs="楷体"/>
          <w:sz w:val="32"/>
        </w:rPr>
      </w:pPr>
      <w:r>
        <w:rPr>
          <w:rFonts w:hint="eastAsia" w:ascii="楷体" w:hAnsi="楷体" w:eastAsia="楷体" w:cs="楷体"/>
          <w:sz w:val="32"/>
        </w:rPr>
        <w:t>（三）基本原则</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——坚持分类建设。</w:t>
      </w:r>
      <w:r>
        <w:rPr>
          <w:rFonts w:hint="eastAsia" w:ascii="仿宋_GB2312" w:eastAsia="仿宋_GB2312"/>
          <w:sz w:val="32"/>
          <w:szCs w:val="32"/>
        </w:rPr>
        <w:t>依据高校办学定位和人才培养目标定位，建设适应创新型、复合型、应用型人才培养需要的一流本科课程，实现不同类型高校一流本科课程建设全覆盖。</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——坚持扶强扶特。</w:t>
      </w:r>
      <w:r>
        <w:rPr>
          <w:rFonts w:hint="eastAsia" w:ascii="仿宋_GB2312" w:hAnsi="微软雅黑" w:eastAsia="仿宋_GB2312"/>
          <w:bCs/>
          <w:kern w:val="24"/>
          <w:sz w:val="32"/>
          <w:szCs w:val="32"/>
        </w:rPr>
        <w:t>着力引导“双一流”建设高校</w:t>
      </w:r>
      <w:r>
        <w:rPr>
          <w:rFonts w:hint="eastAsia" w:ascii="仿宋_GB2312" w:hAnsi="微软雅黑" w:eastAsia="仿宋_GB2312"/>
          <w:bCs/>
          <w:kern w:val="24"/>
          <w:sz w:val="32"/>
          <w:szCs w:val="32"/>
          <w:lang w:eastAsia="zh-CN"/>
        </w:rPr>
        <w:t>、</w:t>
      </w:r>
      <w:r>
        <w:rPr>
          <w:rFonts w:hint="eastAsia" w:ascii="仿宋_GB2312" w:hAnsi="微软雅黑" w:eastAsia="仿宋_GB2312"/>
          <w:bCs/>
          <w:kern w:val="24"/>
          <w:sz w:val="32"/>
          <w:szCs w:val="32"/>
        </w:rPr>
        <w:t>部省合建高校发挥引领示范作用，重点打造一批高水平课程，为卓越拔尖人才培养提供有力支撑。</w:t>
      </w:r>
      <w:r>
        <w:rPr>
          <w:rFonts w:hint="eastAsia" w:ascii="仿宋_GB2312" w:eastAsia="仿宋_GB2312"/>
          <w:sz w:val="32"/>
          <w:szCs w:val="32"/>
        </w:rPr>
        <w:t>重点支持已有建设基础</w:t>
      </w:r>
      <w:r>
        <w:rPr>
          <w:rFonts w:hint="eastAsia" w:ascii="仿宋_GB2312" w:eastAsia="仿宋_GB2312"/>
          <w:sz w:val="32"/>
          <w:szCs w:val="32"/>
          <w:lang w:eastAsia="zh-CN"/>
        </w:rPr>
        <w:t>、</w:t>
      </w:r>
      <w:r>
        <w:rPr>
          <w:rFonts w:hint="eastAsia" w:ascii="仿宋_GB2312" w:eastAsia="仿宋_GB2312"/>
          <w:sz w:val="32"/>
          <w:szCs w:val="32"/>
        </w:rPr>
        <w:t>取得明显教学成效的课程，让优的更优、强的更强。重视特色课程建设，实现一流本科课程多样化。</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——提升高阶性。</w:t>
      </w:r>
      <w:r>
        <w:rPr>
          <w:rFonts w:hint="eastAsia" w:ascii="仿宋_GB2312" w:eastAsia="仿宋_GB2312"/>
          <w:sz w:val="32"/>
          <w:szCs w:val="32"/>
        </w:rPr>
        <w:t>课程目标坚持知识、能力、素质有机融合，培养学生解决复杂问题的综合能力和高级思维。课程内容强调广度和深度，突破习惯性认知模式，培养学生深度分析、大胆质疑、勇于创新的精神和能力。</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——突出创新性。</w:t>
      </w:r>
      <w:r>
        <w:rPr>
          <w:rFonts w:hint="eastAsia" w:ascii="仿宋_GB2312" w:eastAsia="仿宋_GB2312"/>
          <w:sz w:val="32"/>
          <w:szCs w:val="32"/>
        </w:rPr>
        <w:t>教学内容体现前沿性与时代性，及时将学术研究、科技发展前沿成果引入课程。教学方法体现先进性与互动性，大力推进现代信息技术与教学深度融合，积极引导学生进行探究式与个性化学习。</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bCs/>
          <w:sz w:val="32"/>
          <w:szCs w:val="32"/>
        </w:rPr>
        <w:t>——增加挑战度。</w:t>
      </w:r>
      <w:r>
        <w:rPr>
          <w:rFonts w:hint="eastAsia" w:ascii="仿宋_GB2312" w:eastAsia="仿宋_GB2312"/>
          <w:sz w:val="32"/>
          <w:szCs w:val="32"/>
        </w:rPr>
        <w:t>课程设计增加研究性、创新性、综合性内容，</w:t>
      </w:r>
      <w:r>
        <w:rPr>
          <w:rStyle w:val="10"/>
          <w:rFonts w:hint="eastAsia" w:ascii="仿宋_GB2312" w:hAnsi="楷体" w:eastAsia="仿宋_GB2312"/>
          <w:b w:val="0"/>
        </w:rPr>
        <w:t>加大学生学习投入，科学“增负”，</w:t>
      </w:r>
      <w:r>
        <w:rPr>
          <w:rFonts w:hint="eastAsia" w:ascii="仿宋_GB2312" w:eastAsia="仿宋_GB2312"/>
          <w:sz w:val="32"/>
          <w:szCs w:val="32"/>
        </w:rPr>
        <w:t>让学生体验“跳一跳才能够得着”的学习挑战。严格考核考试评价，增强学生经过刻苦学习收获能力和素质提高的成就感。</w:t>
      </w:r>
    </w:p>
    <w:p>
      <w:pPr>
        <w:adjustRightInd w:val="0"/>
        <w:snapToGrid w:val="0"/>
        <w:spacing w:line="560" w:lineRule="exact"/>
        <w:ind w:firstLine="640" w:firstLineChars="200"/>
        <w:rPr>
          <w:rFonts w:ascii="黑体" w:hAnsi="黑体" w:eastAsia="黑体" w:cs="黑体"/>
          <w:bCs/>
          <w:sz w:val="32"/>
        </w:rPr>
      </w:pPr>
      <w:r>
        <w:rPr>
          <w:rFonts w:hint="eastAsia" w:ascii="黑体" w:hAnsi="黑体" w:eastAsia="黑体" w:cs="黑体"/>
          <w:bCs/>
          <w:sz w:val="32"/>
        </w:rPr>
        <w:t>二、建设内容</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（一）</w:t>
      </w:r>
      <w:r>
        <w:rPr>
          <w:rStyle w:val="12"/>
          <w:rFonts w:ascii="楷体" w:hAnsi="楷体" w:eastAsia="楷体"/>
        </w:rPr>
        <w:t>转变观念</w:t>
      </w:r>
      <w:r>
        <w:rPr>
          <w:rStyle w:val="12"/>
          <w:rFonts w:hint="eastAsia" w:ascii="楷体" w:hAnsi="楷体" w:eastAsia="楷体"/>
        </w:rPr>
        <w:t>，</w:t>
      </w:r>
      <w:r>
        <w:rPr>
          <w:rStyle w:val="12"/>
          <w:rFonts w:ascii="楷体" w:hAnsi="楷体" w:eastAsia="楷体"/>
        </w:rPr>
        <w:t>理念新起来</w:t>
      </w:r>
      <w:r>
        <w:rPr>
          <w:rStyle w:val="12"/>
          <w:rFonts w:hint="eastAsia" w:ascii="楷体" w:hAnsi="楷体" w:eastAsia="楷体"/>
        </w:rPr>
        <w:t>。</w:t>
      </w:r>
      <w:r>
        <w:rPr>
          <w:rFonts w:hint="eastAsia" w:ascii="仿宋_GB2312" w:eastAsia="仿宋_GB2312"/>
          <w:sz w:val="32"/>
          <w:szCs w:val="32"/>
        </w:rPr>
        <w:t>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（二）目标导向，课程优起来。</w:t>
      </w:r>
      <w:r>
        <w:rPr>
          <w:rStyle w:val="10"/>
          <w:rFonts w:hint="eastAsia" w:ascii="仿宋_GB2312" w:hAnsi="楷体" w:eastAsia="仿宋_GB2312"/>
          <w:b w:val="0"/>
        </w:rPr>
        <w:t>以目标为导向加强课程建设。立足经济社会发展需求和人才培养目标，优化重构教学内容与课程体</w:t>
      </w:r>
      <w:r>
        <w:rPr>
          <w:rFonts w:hint="eastAsia" w:ascii="仿宋_GB2312" w:eastAsia="仿宋_GB2312"/>
          <w:sz w:val="32"/>
          <w:szCs w:val="32"/>
        </w:rPr>
        <w:t>系，破除课程千校一面，杜绝必修课因人设课，淘汰“水课”，立起课程建设新标杆。“双一流”建设高校</w:t>
      </w:r>
      <w:r>
        <w:rPr>
          <w:rFonts w:hint="eastAsia" w:ascii="仿宋_GB2312" w:eastAsia="仿宋_GB2312"/>
          <w:sz w:val="32"/>
          <w:szCs w:val="32"/>
          <w:lang w:eastAsia="zh-CN"/>
        </w:rPr>
        <w:t>、</w:t>
      </w:r>
      <w:r>
        <w:rPr>
          <w:rFonts w:hint="eastAsia" w:ascii="仿宋_GB2312" w:eastAsia="仿宋_GB2312"/>
          <w:sz w:val="32"/>
          <w:szCs w:val="32"/>
        </w:rPr>
        <w:t>部省合建高校要明确要求</w:t>
      </w:r>
      <w:r>
        <w:rPr>
          <w:rFonts w:hint="eastAsia" w:ascii="仿宋_GB2312" w:eastAsia="仿宋_GB2312"/>
          <w:sz w:val="32"/>
          <w:szCs w:val="32"/>
          <w:lang w:eastAsia="zh-CN"/>
        </w:rPr>
        <w:t>两院</w:t>
      </w:r>
      <w:r>
        <w:rPr>
          <w:rFonts w:hint="eastAsia" w:ascii="仿宋_GB2312" w:eastAsia="仿宋_GB2312"/>
          <w:sz w:val="32"/>
          <w:szCs w:val="32"/>
        </w:rPr>
        <w:t>院士、</w:t>
      </w:r>
      <w:r>
        <w:rPr>
          <w:rFonts w:hint="eastAsia" w:ascii="仿宋_GB2312" w:eastAsia="仿宋_GB2312"/>
          <w:sz w:val="32"/>
          <w:szCs w:val="32"/>
          <w:lang w:eastAsia="zh-CN"/>
        </w:rPr>
        <w:t>国家“千人计划”“万人计划”专家、</w:t>
      </w:r>
      <w:r>
        <w:rPr>
          <w:rFonts w:hint="eastAsia" w:ascii="仿宋_GB2312" w:eastAsia="仿宋_GB2312"/>
          <w:sz w:val="32"/>
          <w:szCs w:val="32"/>
        </w:rPr>
        <w:t>“长江学者</w:t>
      </w:r>
      <w:r>
        <w:rPr>
          <w:rFonts w:hint="eastAsia" w:ascii="仿宋_GB2312" w:eastAsia="仿宋_GB2312"/>
          <w:sz w:val="32"/>
          <w:szCs w:val="32"/>
          <w:lang w:eastAsia="zh-CN"/>
        </w:rPr>
        <w:t>奖励计划</w:t>
      </w:r>
      <w:r>
        <w:rPr>
          <w:rFonts w:hint="eastAsia" w:ascii="仿宋_GB2312" w:eastAsia="仿宋_GB2312"/>
          <w:sz w:val="32"/>
          <w:szCs w:val="32"/>
        </w:rPr>
        <w:t>”</w:t>
      </w:r>
      <w:r>
        <w:rPr>
          <w:rFonts w:hint="eastAsia" w:ascii="仿宋_GB2312" w:eastAsia="仿宋_GB2312"/>
          <w:sz w:val="32"/>
          <w:szCs w:val="32"/>
          <w:lang w:eastAsia="zh-CN"/>
        </w:rPr>
        <w:t>入选者</w:t>
      </w:r>
      <w:r>
        <w:rPr>
          <w:rFonts w:hint="eastAsia" w:ascii="仿宋_GB2312" w:eastAsia="仿宋_GB2312"/>
          <w:sz w:val="32"/>
          <w:szCs w:val="32"/>
        </w:rPr>
        <w:t>、</w:t>
      </w:r>
      <w:r>
        <w:rPr>
          <w:rFonts w:hint="eastAsia" w:ascii="仿宋_GB2312" w:eastAsia="仿宋_GB2312"/>
          <w:sz w:val="32"/>
          <w:szCs w:val="32"/>
          <w:lang w:eastAsia="zh-CN"/>
        </w:rPr>
        <w:t>国家杰出青年科学基金获得者</w:t>
      </w:r>
      <w:r>
        <w:rPr>
          <w:rFonts w:hint="eastAsia" w:ascii="仿宋_GB2312" w:eastAsia="仿宋_GB2312"/>
          <w:sz w:val="32"/>
          <w:szCs w:val="32"/>
        </w:rPr>
        <w:t>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（三）</w:t>
      </w:r>
      <w:r>
        <w:rPr>
          <w:rStyle w:val="12"/>
          <w:rFonts w:ascii="楷体" w:hAnsi="楷体" w:eastAsia="楷体"/>
        </w:rPr>
        <w:t>提升能力</w:t>
      </w:r>
      <w:r>
        <w:rPr>
          <w:rStyle w:val="12"/>
          <w:rFonts w:hint="eastAsia" w:ascii="楷体" w:hAnsi="楷体" w:eastAsia="楷体"/>
        </w:rPr>
        <w:t>，</w:t>
      </w:r>
      <w:r>
        <w:rPr>
          <w:rStyle w:val="12"/>
          <w:rFonts w:ascii="楷体" w:hAnsi="楷体" w:eastAsia="楷体"/>
        </w:rPr>
        <w:t>教师强起来</w:t>
      </w:r>
      <w:r>
        <w:rPr>
          <w:rStyle w:val="12"/>
          <w:rFonts w:hint="eastAsia" w:ascii="楷体" w:hAnsi="楷体" w:eastAsia="楷体"/>
        </w:rPr>
        <w:t>。</w:t>
      </w:r>
      <w:r>
        <w:rPr>
          <w:rFonts w:hint="eastAsia" w:ascii="仿宋_GB2312" w:eastAsia="仿宋_GB2312"/>
          <w:sz w:val="32"/>
          <w:szCs w:val="32"/>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w:t>
      </w:r>
      <w:r>
        <w:rPr>
          <w:rFonts w:hint="eastAsia" w:ascii="仿宋_GB2312" w:eastAsia="仿宋_GB2312"/>
          <w:sz w:val="32"/>
          <w:szCs w:val="32"/>
          <w:lang w:eastAsia="zh-CN"/>
        </w:rPr>
        <w:t>等学校</w:t>
      </w:r>
      <w:r>
        <w:rPr>
          <w:rFonts w:hint="eastAsia" w:ascii="仿宋_GB2312" w:eastAsia="仿宋_GB2312"/>
          <w:sz w:val="32"/>
          <w:szCs w:val="32"/>
        </w:rPr>
        <w:t>培训</w:t>
      </w:r>
      <w:r>
        <w:rPr>
          <w:rFonts w:hint="eastAsia" w:ascii="仿宋_GB2312" w:eastAsia="仿宋_GB2312"/>
          <w:sz w:val="32"/>
          <w:szCs w:val="32"/>
          <w:lang w:eastAsia="zh-CN"/>
        </w:rPr>
        <w:t>部门颁发的</w:t>
      </w:r>
      <w:r>
        <w:rPr>
          <w:rFonts w:hint="eastAsia" w:ascii="仿宋_GB2312" w:eastAsia="仿宋_GB2312"/>
          <w:sz w:val="32"/>
          <w:szCs w:val="32"/>
        </w:rPr>
        <w:t>证书，方可主讲课程。实现教师职业培训、终身学习全覆盖，推动教师培训常态化，将培训学分作为教师资格定期注册、教师考核的必备条件。</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（四）</w:t>
      </w:r>
      <w:r>
        <w:rPr>
          <w:rStyle w:val="12"/>
          <w:rFonts w:ascii="楷体" w:hAnsi="楷体" w:eastAsia="楷体"/>
        </w:rPr>
        <w:t>改革方法</w:t>
      </w:r>
      <w:r>
        <w:rPr>
          <w:rStyle w:val="12"/>
          <w:rFonts w:hint="eastAsia" w:ascii="楷体" w:hAnsi="楷体" w:eastAsia="楷体"/>
        </w:rPr>
        <w:t>，</w:t>
      </w:r>
      <w:r>
        <w:rPr>
          <w:rStyle w:val="12"/>
          <w:rFonts w:ascii="楷体" w:hAnsi="楷体" w:eastAsia="楷体"/>
        </w:rPr>
        <w:t>课堂活起来</w:t>
      </w:r>
      <w:r>
        <w:rPr>
          <w:rStyle w:val="12"/>
          <w:rFonts w:hint="eastAsia" w:ascii="楷体" w:hAnsi="楷体" w:eastAsia="楷体"/>
        </w:rPr>
        <w:t>。</w:t>
      </w:r>
      <w:r>
        <w:rPr>
          <w:rFonts w:hint="eastAsia" w:ascii="仿宋_GB2312" w:eastAsia="仿宋_GB2312"/>
          <w:sz w:val="32"/>
          <w:szCs w:val="32"/>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（五）</w:t>
      </w:r>
      <w:r>
        <w:rPr>
          <w:rStyle w:val="12"/>
          <w:rFonts w:ascii="楷体" w:hAnsi="楷体" w:eastAsia="楷体"/>
        </w:rPr>
        <w:t>科学评价</w:t>
      </w:r>
      <w:r>
        <w:rPr>
          <w:rStyle w:val="12"/>
          <w:rFonts w:hint="eastAsia" w:ascii="楷体" w:hAnsi="楷体" w:eastAsia="楷体"/>
        </w:rPr>
        <w:t>，</w:t>
      </w:r>
      <w:r>
        <w:rPr>
          <w:rStyle w:val="12"/>
          <w:rFonts w:ascii="楷体" w:hAnsi="楷体" w:eastAsia="楷体"/>
        </w:rPr>
        <w:t>学生忙起来</w:t>
      </w:r>
      <w:r>
        <w:rPr>
          <w:rStyle w:val="12"/>
          <w:rFonts w:hint="eastAsia" w:ascii="楷体" w:hAnsi="楷体" w:eastAsia="楷体"/>
        </w:rPr>
        <w:t>。</w:t>
      </w:r>
      <w:r>
        <w:rPr>
          <w:rFonts w:hint="eastAsia" w:ascii="仿宋_GB2312" w:eastAsia="仿宋_GB2312"/>
          <w:sz w:val="32"/>
          <w:szCs w:val="32"/>
        </w:rPr>
        <w:t>以激发学习动力和专业志趣为着力点</w:t>
      </w:r>
      <w:r>
        <w:rPr>
          <w:rFonts w:ascii="仿宋_GB2312" w:eastAsia="仿宋_GB2312"/>
          <w:sz w:val="32"/>
          <w:szCs w:val="32"/>
        </w:rPr>
        <w:t>完善</w:t>
      </w:r>
      <w:r>
        <w:rPr>
          <w:rFonts w:hint="eastAsia" w:ascii="仿宋_GB2312" w:eastAsia="仿宋_GB2312"/>
          <w:sz w:val="32"/>
          <w:szCs w:val="32"/>
        </w:rPr>
        <w:t>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w:t>
      </w:r>
      <w:r>
        <w:rPr>
          <w:rFonts w:ascii="仿宋_GB2312" w:eastAsia="仿宋_GB2312"/>
          <w:sz w:val="32"/>
          <w:szCs w:val="32"/>
        </w:rPr>
        <w:t>性</w:t>
      </w:r>
      <w:r>
        <w:rPr>
          <w:rFonts w:hint="eastAsia" w:ascii="仿宋_GB2312" w:eastAsia="仿宋_GB2312"/>
          <w:sz w:val="32"/>
          <w:szCs w:val="32"/>
        </w:rPr>
        <w:t>。“双一流”建设高校</w:t>
      </w:r>
      <w:r>
        <w:rPr>
          <w:rFonts w:hint="eastAsia" w:ascii="仿宋_GB2312" w:eastAsia="仿宋_GB2312"/>
          <w:sz w:val="32"/>
          <w:szCs w:val="32"/>
          <w:lang w:eastAsia="zh-CN"/>
        </w:rPr>
        <w:t>、</w:t>
      </w:r>
      <w:r>
        <w:rPr>
          <w:rFonts w:hint="eastAsia" w:ascii="仿宋_GB2312" w:eastAsia="仿宋_GB2312"/>
          <w:sz w:val="32"/>
          <w:szCs w:val="32"/>
        </w:rPr>
        <w:t>部省合建高校要扩大学生课程学习选择面，强化课程难度与挑战度。</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（六）</w:t>
      </w:r>
      <w:r>
        <w:rPr>
          <w:rStyle w:val="12"/>
          <w:rFonts w:ascii="楷体" w:hAnsi="楷体" w:eastAsia="楷体"/>
        </w:rPr>
        <w:t>强化管理</w:t>
      </w:r>
      <w:r>
        <w:rPr>
          <w:rStyle w:val="12"/>
          <w:rFonts w:hint="eastAsia" w:ascii="楷体" w:hAnsi="楷体" w:eastAsia="楷体"/>
        </w:rPr>
        <w:t>，</w:t>
      </w:r>
      <w:r>
        <w:rPr>
          <w:rStyle w:val="12"/>
          <w:rFonts w:ascii="楷体" w:hAnsi="楷体" w:eastAsia="楷体"/>
        </w:rPr>
        <w:t>制度严起来</w:t>
      </w:r>
      <w:r>
        <w:rPr>
          <w:rStyle w:val="12"/>
          <w:rFonts w:hint="eastAsia" w:ascii="楷体" w:hAnsi="楷体" w:eastAsia="楷体"/>
        </w:rPr>
        <w:t>。</w:t>
      </w:r>
      <w:r>
        <w:rPr>
          <w:rFonts w:hint="eastAsia" w:ascii="仿宋_GB2312" w:eastAsia="仿宋_GB2312"/>
          <w:sz w:val="32"/>
          <w:szCs w:val="32"/>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adjustRightInd w:val="0"/>
        <w:snapToGrid w:val="0"/>
        <w:spacing w:line="560" w:lineRule="exact"/>
        <w:ind w:firstLine="643" w:firstLineChars="200"/>
        <w:rPr>
          <w:rFonts w:ascii="仿宋_GB2312" w:eastAsia="仿宋_GB2312"/>
          <w:sz w:val="32"/>
          <w:szCs w:val="32"/>
        </w:rPr>
      </w:pPr>
      <w:r>
        <w:rPr>
          <w:rStyle w:val="12"/>
          <w:rFonts w:hint="eastAsia" w:ascii="楷体" w:hAnsi="楷体" w:eastAsia="楷体"/>
        </w:rPr>
        <w:t>（七）</w:t>
      </w:r>
      <w:r>
        <w:rPr>
          <w:rStyle w:val="12"/>
          <w:rFonts w:ascii="楷体" w:hAnsi="楷体" w:eastAsia="楷体"/>
        </w:rPr>
        <w:t>政策激励</w:t>
      </w:r>
      <w:r>
        <w:rPr>
          <w:rStyle w:val="12"/>
          <w:rFonts w:hint="eastAsia" w:ascii="楷体" w:hAnsi="楷体" w:eastAsia="楷体"/>
        </w:rPr>
        <w:t>，教学热起来。</w:t>
      </w:r>
      <w:r>
        <w:rPr>
          <w:rFonts w:hint="eastAsia" w:ascii="仿宋_GB2312" w:eastAsia="仿宋_GB2312"/>
          <w:sz w:val="32"/>
          <w:szCs w:val="32"/>
        </w:rPr>
        <w:t>以教学贡献为核心内容制定激励政策。加大课程建设的支持力度，加大优秀课程和教师的奖励力度，加大教学业绩在专业技术职务</w:t>
      </w:r>
      <w:r>
        <w:rPr>
          <w:rFonts w:ascii="仿宋_GB2312" w:eastAsia="仿宋_GB2312"/>
          <w:sz w:val="32"/>
          <w:szCs w:val="32"/>
        </w:rPr>
        <w:t>评聘中的权重</w:t>
      </w:r>
      <w:r>
        <w:rPr>
          <w:rFonts w:hint="eastAsia" w:ascii="仿宋_GB2312" w:eastAsia="仿宋_GB2312"/>
          <w:sz w:val="32"/>
          <w:szCs w:val="32"/>
        </w:rPr>
        <w:t>，营造重视本科课程改革与建设的良好氛围。</w:t>
      </w:r>
    </w:p>
    <w:p>
      <w:pPr>
        <w:pStyle w:val="2"/>
        <w:adjustRightInd w:val="0"/>
        <w:snapToGrid w:val="0"/>
        <w:spacing w:before="0" w:after="0" w:line="560" w:lineRule="exact"/>
        <w:ind w:left="640"/>
        <w:rPr>
          <w:rFonts w:ascii="黑体" w:hAnsi="黑体" w:eastAsia="黑体" w:cs="黑体"/>
          <w:b w:val="0"/>
          <w:bCs w:val="0"/>
          <w:sz w:val="32"/>
        </w:rPr>
      </w:pPr>
      <w:r>
        <w:rPr>
          <w:rFonts w:hint="eastAsia" w:ascii="黑体" w:hAnsi="黑体" w:eastAsia="黑体" w:cs="黑体"/>
          <w:b w:val="0"/>
          <w:bCs w:val="0"/>
          <w:sz w:val="32"/>
        </w:rPr>
        <w:t>三、实施一流本科课程双万计划</w:t>
      </w:r>
    </w:p>
    <w:p>
      <w:pPr>
        <w:adjustRightInd w:val="0"/>
        <w:snapToGrid w:val="0"/>
        <w:spacing w:line="560" w:lineRule="exact"/>
        <w:ind w:firstLine="643" w:firstLineChars="200"/>
        <w:rPr>
          <w:rFonts w:ascii="仿宋_GB2312" w:hAnsi="宋体" w:eastAsia="仿宋_GB2312"/>
          <w:sz w:val="32"/>
          <w:szCs w:val="32"/>
        </w:rPr>
      </w:pPr>
      <w:r>
        <w:rPr>
          <w:rStyle w:val="10"/>
          <w:rFonts w:hint="eastAsia" w:ascii="楷体" w:hAnsi="楷体" w:eastAsia="楷体"/>
        </w:rPr>
        <w:t>（一）认定万门左右国家级一流本科课程。</w:t>
      </w:r>
      <w:r>
        <w:rPr>
          <w:rStyle w:val="10"/>
          <w:rFonts w:ascii="仿宋_GB2312" w:hAnsi="楷体" w:eastAsia="仿宋_GB2312" w:cs="Times New Roman"/>
          <w:b w:val="0"/>
        </w:rPr>
        <w:t>注重创新型、复合型、应用型人才培养课程建设的创新性、示范引领性和推广性</w:t>
      </w:r>
      <w:r>
        <w:rPr>
          <w:rStyle w:val="10"/>
          <w:rFonts w:hint="eastAsia" w:ascii="仿宋_GB2312" w:hAnsi="楷体" w:eastAsia="仿宋_GB2312" w:cs="Times New Roman"/>
          <w:b w:val="0"/>
        </w:rPr>
        <w:t>，</w:t>
      </w:r>
      <w:r>
        <w:rPr>
          <w:rFonts w:hint="eastAsia" w:ascii="仿宋_GB2312" w:hAnsi="楷体" w:eastAsia="仿宋_GB2312"/>
          <w:sz w:val="32"/>
          <w:szCs w:val="32"/>
        </w:rPr>
        <w:t>在高校培育建设基础上，从</w:t>
      </w:r>
      <w:r>
        <w:rPr>
          <w:rFonts w:ascii="Times New Roman" w:hAnsi="Times New Roman" w:eastAsia="仿宋_GB2312" w:cs="Times New Roman"/>
          <w:sz w:val="32"/>
          <w:szCs w:val="32"/>
        </w:rPr>
        <w:t>2019</w:t>
      </w:r>
      <w:r>
        <w:rPr>
          <w:rFonts w:hint="eastAsia" w:ascii="仿宋_GB2312" w:hAnsi="楷体" w:eastAsia="仿宋_GB2312"/>
          <w:sz w:val="32"/>
          <w:szCs w:val="32"/>
        </w:rPr>
        <w:t>年到</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仿宋_GB2312" w:hAnsi="楷体" w:eastAsia="仿宋_GB2312"/>
          <w:sz w:val="32"/>
          <w:szCs w:val="32"/>
        </w:rPr>
        <w:t>年，完成</w:t>
      </w:r>
      <w:r>
        <w:rPr>
          <w:rFonts w:ascii="Times New Roman" w:hAnsi="Times New Roman" w:eastAsia="仿宋_GB2312" w:cs="Times New Roman"/>
          <w:sz w:val="32"/>
          <w:szCs w:val="32"/>
        </w:rPr>
        <w:t>4000</w:t>
      </w:r>
      <w:r>
        <w:rPr>
          <w:rFonts w:hint="eastAsia" w:ascii="仿宋_GB2312" w:hAnsi="楷体" w:eastAsia="仿宋_GB2312"/>
          <w:sz w:val="32"/>
          <w:szCs w:val="32"/>
        </w:rPr>
        <w:t>门</w:t>
      </w:r>
      <w:r>
        <w:rPr>
          <w:rFonts w:hint="eastAsia" w:ascii="仿宋_GB2312" w:hAnsi="楷体" w:eastAsia="仿宋_GB2312"/>
          <w:sz w:val="32"/>
          <w:szCs w:val="32"/>
          <w:lang w:eastAsia="zh-CN"/>
        </w:rPr>
        <w:t>左右国家级</w:t>
      </w:r>
      <w:r>
        <w:rPr>
          <w:rFonts w:hint="eastAsia" w:ascii="仿宋_GB2312" w:hAnsi="楷体" w:eastAsia="仿宋_GB2312"/>
          <w:sz w:val="32"/>
          <w:szCs w:val="32"/>
        </w:rPr>
        <w:t>线上一流课程</w:t>
      </w:r>
      <w:r>
        <w:rPr>
          <w:rFonts w:hint="eastAsia" w:ascii="仿宋_GB2312" w:hAnsi="楷体" w:eastAsia="仿宋_GB2312"/>
          <w:sz w:val="32"/>
          <w:szCs w:val="32"/>
          <w:lang w:eastAsia="zh-CN"/>
        </w:rPr>
        <w:t>（</w:t>
      </w:r>
      <w:r>
        <w:rPr>
          <w:rFonts w:hint="eastAsia" w:ascii="仿宋_GB2312" w:hAnsi="楷体" w:eastAsia="仿宋_GB2312"/>
          <w:sz w:val="32"/>
          <w:szCs w:val="32"/>
        </w:rPr>
        <w:t>国家精品在线开放课程</w:t>
      </w:r>
      <w:r>
        <w:rPr>
          <w:rFonts w:hint="eastAsia" w:ascii="仿宋_GB2312" w:hAnsi="楷体" w:eastAsia="仿宋_GB2312"/>
          <w:sz w:val="32"/>
          <w:szCs w:val="32"/>
          <w:lang w:eastAsia="zh-CN"/>
        </w:rPr>
        <w:t>）</w:t>
      </w:r>
      <w:r>
        <w:rPr>
          <w:rFonts w:hint="eastAsia" w:ascii="仿宋_GB2312" w:hAnsi="楷体" w:eastAsia="仿宋_GB2312"/>
          <w:sz w:val="32"/>
          <w:szCs w:val="32"/>
        </w:rPr>
        <w:t>、</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0</w:t>
      </w:r>
      <w:r>
        <w:rPr>
          <w:rFonts w:hint="eastAsia" w:ascii="仿宋_GB2312" w:hAnsi="宋体" w:eastAsia="仿宋_GB2312"/>
          <w:sz w:val="32"/>
          <w:szCs w:val="32"/>
        </w:rPr>
        <w:t>门左右国家级线下一流课程、</w:t>
      </w:r>
      <w:r>
        <w:rPr>
          <w:rFonts w:ascii="Times New Roman" w:hAnsi="Times New Roman" w:eastAsia="仿宋_GB2312" w:cs="Times New Roman"/>
          <w:sz w:val="32"/>
          <w:szCs w:val="32"/>
        </w:rPr>
        <w:t>6000</w:t>
      </w:r>
      <w:r>
        <w:rPr>
          <w:rFonts w:ascii="仿宋_GB2312" w:hAnsi="宋体" w:eastAsia="仿宋_GB2312"/>
          <w:sz w:val="32"/>
          <w:szCs w:val="32"/>
        </w:rPr>
        <w:t>门左右国家级</w:t>
      </w:r>
      <w:r>
        <w:rPr>
          <w:rFonts w:hint="eastAsia" w:ascii="仿宋_GB2312" w:hAnsi="楷体" w:eastAsia="仿宋_GB2312"/>
          <w:sz w:val="32"/>
          <w:szCs w:val="32"/>
        </w:rPr>
        <w:t>线上线下混合式一流课程、</w:t>
      </w:r>
      <w:r>
        <w:rPr>
          <w:rFonts w:ascii="Times New Roman" w:hAnsi="Times New Roman" w:eastAsia="仿宋_GB2312" w:cs="Times New Roman"/>
          <w:sz w:val="32"/>
          <w:szCs w:val="32"/>
        </w:rPr>
        <w:t>1500</w:t>
      </w:r>
      <w:r>
        <w:rPr>
          <w:rFonts w:hint="eastAsia" w:ascii="仿宋_GB2312" w:hAnsi="宋体" w:eastAsia="仿宋_GB2312"/>
          <w:sz w:val="32"/>
          <w:szCs w:val="32"/>
        </w:rPr>
        <w:t>门左右国家虚拟仿真实验教学一流课程、</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00</w:t>
      </w:r>
      <w:r>
        <w:rPr>
          <w:rFonts w:hint="eastAsia" w:ascii="仿宋_GB2312" w:hAnsi="宋体" w:eastAsia="仿宋_GB2312"/>
          <w:sz w:val="32"/>
          <w:szCs w:val="32"/>
        </w:rPr>
        <w:t>门左右</w:t>
      </w:r>
      <w:r>
        <w:rPr>
          <w:rFonts w:hint="eastAsia" w:ascii="仿宋_GB2312" w:hAnsi="仿宋" w:eastAsia="仿宋_GB2312" w:cs="仿宋"/>
          <w:kern w:val="0"/>
          <w:sz w:val="32"/>
          <w:szCs w:val="32"/>
        </w:rPr>
        <w:t>国家级</w:t>
      </w:r>
      <w:r>
        <w:rPr>
          <w:rFonts w:hint="eastAsia" w:ascii="仿宋_GB2312" w:hAnsi="宋体" w:eastAsia="仿宋_GB2312"/>
          <w:sz w:val="32"/>
          <w:szCs w:val="32"/>
        </w:rPr>
        <w:t>社会实践一流课程认定工作，具体推荐认定办法见附件。</w:t>
      </w:r>
    </w:p>
    <w:p>
      <w:pPr>
        <w:adjustRightInd w:val="0"/>
        <w:snapToGrid w:val="0"/>
        <w:spacing w:line="560" w:lineRule="exact"/>
        <w:ind w:firstLine="643" w:firstLineChars="200"/>
        <w:rPr>
          <w:rFonts w:ascii="仿宋_GB2312" w:hAnsi="宋体" w:eastAsia="仿宋_GB2312"/>
          <w:sz w:val="32"/>
          <w:szCs w:val="32"/>
        </w:rPr>
      </w:pPr>
      <w:r>
        <w:rPr>
          <w:rStyle w:val="10"/>
          <w:rFonts w:hint="eastAsia" w:ascii="楷体" w:hAnsi="楷体" w:eastAsia="楷体"/>
        </w:rPr>
        <w:t>（二）认定万门左右省级一流本科课程。</w:t>
      </w:r>
      <w:r>
        <w:rPr>
          <w:rFonts w:hint="eastAsia" w:ascii="仿宋_GB2312" w:hAnsi="宋体" w:eastAsia="仿宋_GB2312"/>
          <w:sz w:val="32"/>
          <w:szCs w:val="32"/>
        </w:rPr>
        <w:t>各省级教育行政部门根据区域高等教育改革发展需求，参照本实施意见要求，具体组织实施本地区一流本科课程建设计划。推荐</w:t>
      </w:r>
      <w:r>
        <w:rPr>
          <w:rFonts w:ascii="仿宋_GB2312" w:hAnsi="楷体" w:eastAsia="仿宋_GB2312" w:cs="Times New Roman"/>
          <w:sz w:val="32"/>
          <w:szCs w:val="32"/>
        </w:rPr>
        <w:t>国家级一流课程</w:t>
      </w:r>
      <w:r>
        <w:rPr>
          <w:rFonts w:hint="eastAsia" w:ascii="仿宋_GB2312" w:hAnsi="楷体" w:eastAsia="仿宋_GB2312" w:cs="Times New Roman"/>
          <w:sz w:val="32"/>
          <w:szCs w:val="32"/>
        </w:rPr>
        <w:t>，注重解决本地区高校长期存在的教育教学问题，因地制宜、因校制宜、因课制宜</w:t>
      </w:r>
      <w:r>
        <w:rPr>
          <w:rFonts w:hint="eastAsia" w:ascii="仿宋_GB2312" w:hAnsi="宋体" w:eastAsia="仿宋_GB2312"/>
          <w:sz w:val="32"/>
          <w:szCs w:val="32"/>
        </w:rPr>
        <w:t>建设省级一流本科课程，并报我部备案。</w:t>
      </w:r>
    </w:p>
    <w:p>
      <w:pPr>
        <w:pStyle w:val="2"/>
        <w:adjustRightInd w:val="0"/>
        <w:snapToGrid w:val="0"/>
        <w:spacing w:before="0" w:after="0" w:line="560" w:lineRule="exact"/>
        <w:ind w:left="640"/>
        <w:rPr>
          <w:rFonts w:ascii="黑体" w:hAnsi="黑体" w:eastAsia="黑体" w:cs="黑体"/>
          <w:b w:val="0"/>
          <w:bCs w:val="0"/>
          <w:sz w:val="32"/>
        </w:rPr>
      </w:pPr>
      <w:r>
        <w:rPr>
          <w:rFonts w:hint="eastAsia" w:ascii="黑体" w:hAnsi="黑体" w:eastAsia="黑体" w:cs="黑体"/>
          <w:b w:val="0"/>
          <w:bCs w:val="0"/>
          <w:sz w:val="32"/>
        </w:rPr>
        <w:t>四、组织管理</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楷体" w:eastAsia="仿宋_GB2312" w:cs="楷体"/>
          <w:sz w:val="32"/>
          <w:szCs w:val="32"/>
        </w:rPr>
        <w:t>（一）教育部负责统筹指导一流本科课程建设工作，</w:t>
      </w:r>
      <w:r>
        <w:rPr>
          <w:rFonts w:hint="eastAsia" w:ascii="仿宋_GB2312" w:hAnsi="宋体" w:eastAsia="仿宋_GB2312"/>
          <w:sz w:val="32"/>
          <w:szCs w:val="32"/>
        </w:rPr>
        <w:t>组织</w:t>
      </w:r>
      <w:r>
        <w:rPr>
          <w:rFonts w:hint="eastAsia" w:ascii="仿宋_GB2312" w:hAnsi="仿宋" w:eastAsia="仿宋_GB2312" w:cs="仿宋"/>
          <w:kern w:val="0"/>
          <w:sz w:val="32"/>
          <w:szCs w:val="32"/>
        </w:rPr>
        <w:t>有关专家和机构研究制定一流本科课程建设、应用与管理的相关标准规范。公布国家级一流本科课程推荐认定结果。</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宋体" w:eastAsia="仿宋_GB2312"/>
          <w:sz w:val="32"/>
          <w:szCs w:val="32"/>
        </w:rPr>
        <w:t>（二）省级教育行政部门研究制定省级一流本科课程建设实施方案，制定推动本地区</w:t>
      </w:r>
      <w:r>
        <w:rPr>
          <w:rFonts w:hint="eastAsia" w:ascii="仿宋_GB2312" w:hAnsi="仿宋" w:eastAsia="仿宋_GB2312" w:cs="仿宋"/>
          <w:kern w:val="0"/>
          <w:sz w:val="32"/>
          <w:szCs w:val="32"/>
        </w:rPr>
        <w:t>一流本科课程建设与教学改革配套政策，建设</w:t>
      </w:r>
      <w:r>
        <w:rPr>
          <w:rFonts w:hint="eastAsia" w:ascii="仿宋_GB2312" w:hAnsi="宋体" w:eastAsia="仿宋_GB2312"/>
          <w:sz w:val="32"/>
          <w:szCs w:val="32"/>
        </w:rPr>
        <w:t>省级一流本科课程。</w:t>
      </w:r>
      <w:r>
        <w:rPr>
          <w:rFonts w:hint="eastAsia" w:ascii="仿宋_GB2312" w:hAnsi="仿宋" w:eastAsia="仿宋_GB2312" w:cs="仿宋"/>
          <w:kern w:val="0"/>
          <w:sz w:val="32"/>
          <w:szCs w:val="32"/>
        </w:rPr>
        <w:t>加强省级课程服务平台的管理，</w:t>
      </w:r>
      <w:r>
        <w:rPr>
          <w:rFonts w:hint="eastAsia" w:ascii="仿宋_GB2312" w:hAnsi="宋体" w:eastAsia="仿宋_GB2312"/>
          <w:sz w:val="32"/>
          <w:szCs w:val="32"/>
        </w:rPr>
        <w:t>积极</w:t>
      </w:r>
      <w:r>
        <w:rPr>
          <w:rFonts w:hint="eastAsia" w:ascii="仿宋_GB2312" w:hAnsi="仿宋" w:eastAsia="仿宋_GB2312" w:cs="仿宋"/>
          <w:kern w:val="0"/>
          <w:sz w:val="32"/>
          <w:szCs w:val="32"/>
        </w:rPr>
        <w:t>推动</w:t>
      </w:r>
      <w:r>
        <w:rPr>
          <w:rFonts w:ascii="仿宋_GB2312" w:hAnsi="仿宋" w:eastAsia="仿宋_GB2312" w:cs="仿宋"/>
          <w:kern w:val="0"/>
          <w:sz w:val="32"/>
          <w:szCs w:val="32"/>
        </w:rPr>
        <w:t>一流本科</w:t>
      </w:r>
      <w:r>
        <w:rPr>
          <w:rFonts w:hint="eastAsia" w:ascii="仿宋_GB2312" w:hAnsi="仿宋" w:eastAsia="仿宋_GB2312" w:cs="仿宋"/>
          <w:kern w:val="0"/>
          <w:sz w:val="32"/>
          <w:szCs w:val="32"/>
        </w:rPr>
        <w:t>课程开放共享</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楷体" w:eastAsia="仿宋_GB2312"/>
          <w:sz w:val="32"/>
          <w:szCs w:val="32"/>
        </w:rPr>
        <w:t>（三）高校</w:t>
      </w:r>
      <w:r>
        <w:rPr>
          <w:rFonts w:hint="eastAsia" w:ascii="仿宋_GB2312" w:hAnsi="宋体" w:eastAsia="仿宋_GB2312"/>
          <w:sz w:val="32"/>
          <w:szCs w:val="32"/>
        </w:rPr>
        <w:t>要优化课程体系，做好一流本科课程建设规划。组建优秀教师团队建设一流本科课程。建立校内课程建设激励机制，健全支持政策，完善课程管理和评价机制。“双一流”建设高校</w:t>
      </w:r>
      <w:r>
        <w:rPr>
          <w:rFonts w:hint="eastAsia" w:ascii="仿宋_GB2312" w:hAnsi="宋体" w:eastAsia="仿宋_GB2312"/>
          <w:sz w:val="32"/>
          <w:szCs w:val="32"/>
          <w:lang w:eastAsia="zh-CN"/>
        </w:rPr>
        <w:t>、</w:t>
      </w:r>
      <w:r>
        <w:rPr>
          <w:rFonts w:hint="eastAsia" w:ascii="仿宋_GB2312" w:hAnsi="宋体" w:eastAsia="仿宋_GB2312"/>
          <w:sz w:val="32"/>
          <w:szCs w:val="32"/>
        </w:rPr>
        <w:t>部省合建高校要率先建设一流本科课程。</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楷体" w:eastAsia="仿宋_GB2312" w:cs="黑体"/>
          <w:bCs/>
          <w:sz w:val="32"/>
          <w:szCs w:val="32"/>
        </w:rPr>
        <w:t>（四）高等学校教学指导委员会要加强课程建设理论研究和分类</w:t>
      </w:r>
      <w:r>
        <w:rPr>
          <w:rFonts w:hint="eastAsia" w:ascii="仿宋_GB2312" w:hAnsi="宋体" w:eastAsia="仿宋_GB2312"/>
          <w:sz w:val="32"/>
          <w:szCs w:val="32"/>
        </w:rPr>
        <w:t>指导</w:t>
      </w:r>
      <w:r>
        <w:rPr>
          <w:rFonts w:hint="eastAsia" w:ascii="仿宋_GB2312" w:hAnsi="楷体" w:eastAsia="仿宋_GB2312" w:cs="黑体"/>
          <w:bCs/>
          <w:sz w:val="32"/>
          <w:szCs w:val="32"/>
        </w:rPr>
        <w:t>，</w:t>
      </w:r>
      <w:r>
        <w:rPr>
          <w:rFonts w:hint="eastAsia" w:ascii="仿宋_GB2312" w:hAnsi="黑体" w:eastAsia="仿宋_GB2312" w:cs="黑体"/>
          <w:bCs/>
          <w:sz w:val="32"/>
          <w:szCs w:val="32"/>
        </w:rPr>
        <w:t>组织</w:t>
      </w:r>
      <w:r>
        <w:rPr>
          <w:rFonts w:hint="eastAsia" w:ascii="仿宋_GB2312" w:hAnsi="宋体" w:eastAsia="仿宋_GB2312"/>
          <w:sz w:val="32"/>
          <w:szCs w:val="32"/>
        </w:rPr>
        <w:t>制订相关专业一流本科课程建设指南，引导高校汇聚优秀教师联合建设课程群，共享优质课程资源。</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（五）课程服务平台承担一流本科课程服务和数据安全保障的主体责任，配合开展课程审查和线上教学活动。要不断更新并提升技术和数据服务水平，监控和打击不良学习行为。加强课程平台间的交流与合作。</w:t>
      </w:r>
      <w:r>
        <w:rPr>
          <w:rFonts w:ascii="仿宋_GB2312" w:hAnsi="宋体" w:eastAsia="仿宋_GB2312"/>
          <w:sz w:val="32"/>
          <w:szCs w:val="32"/>
        </w:rPr>
        <w:t xml:space="preserve"> </w:t>
      </w:r>
    </w:p>
    <w:p>
      <w:pPr>
        <w:adjustRightInd w:val="0"/>
        <w:snapToGrid w:val="0"/>
        <w:spacing w:line="560" w:lineRule="exact"/>
        <w:ind w:firstLine="640" w:firstLineChars="200"/>
        <w:rPr>
          <w:rFonts w:ascii="仿宋_GB2312" w:hAnsi="仿宋" w:eastAsia="仿宋_GB2312" w:cs="仿宋"/>
          <w:kern w:val="0"/>
          <w:sz w:val="32"/>
          <w:szCs w:val="32"/>
        </w:rPr>
      </w:pPr>
      <w:r>
        <w:rPr>
          <w:rFonts w:hint="eastAsia" w:ascii="仿宋_GB2312" w:hAnsi="微软雅黑" w:eastAsia="仿宋_GB2312"/>
          <w:sz w:val="32"/>
          <w:szCs w:val="32"/>
        </w:rPr>
        <w:t>（六）中央部门所属高校统筹利用“中央高校教育教学改革专项”等各类资源支持一流本科课程建设。地方高校</w:t>
      </w:r>
      <w:r>
        <w:rPr>
          <w:rFonts w:hint="eastAsia" w:ascii="仿宋_GB2312" w:hAnsi="仿宋" w:eastAsia="仿宋_GB2312" w:cs="仿宋"/>
          <w:kern w:val="0"/>
          <w:sz w:val="32"/>
          <w:szCs w:val="32"/>
        </w:rPr>
        <w:t>统筹地方财政高等教育资金和中央支持地方高校改革发展资金支持一流本科课程建设。</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hAnsi="宋体" w:eastAsia="仿宋_GB2312"/>
          <w:sz w:val="32"/>
          <w:szCs w:val="32"/>
        </w:rPr>
        <w:t>“双万计划”国家级一流本科课程推荐认定办法</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wordWrap w:val="0"/>
        <w:adjustRightInd w:val="0"/>
        <w:snapToGrid w:val="0"/>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教育部 </w:t>
      </w:r>
      <w:r>
        <w:rPr>
          <w:rFonts w:ascii="仿宋_GB2312" w:eastAsia="仿宋_GB2312"/>
          <w:sz w:val="32"/>
          <w:szCs w:val="32"/>
        </w:rPr>
        <w:t xml:space="preserve">         </w:t>
      </w:r>
    </w:p>
    <w:p>
      <w:pPr>
        <w:wordWrap w:val="0"/>
        <w:adjustRightInd w:val="0"/>
        <w:snapToGrid w:val="0"/>
        <w:spacing w:line="560" w:lineRule="exact"/>
        <w:ind w:firstLine="640" w:firstLineChars="200"/>
        <w:jc w:val="right"/>
        <w:rPr>
          <w:rFonts w:ascii="仿宋_GB2312" w:eastAsia="仿宋_GB2312"/>
          <w:sz w:val="32"/>
          <w:szCs w:val="32"/>
        </w:rPr>
      </w:pPr>
      <w:r>
        <w:rPr>
          <w:rFonts w:hint="eastAsia" w:ascii="Times New Roman" w:hAnsi="Times New Roman" w:eastAsia="仿宋_GB2312" w:cs="Times New Roman"/>
          <w:sz w:val="32"/>
          <w:szCs w:val="32"/>
        </w:rPr>
        <w:t>2019年10月</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日</w:t>
      </w:r>
      <w:r>
        <w:rPr>
          <w:rFonts w:hint="eastAsia" w:ascii="仿宋_GB2312" w:eastAsia="仿宋_GB2312"/>
          <w:sz w:val="32"/>
          <w:szCs w:val="32"/>
        </w:rPr>
        <w:t xml:space="preserve"> </w:t>
      </w:r>
      <w:r>
        <w:rPr>
          <w:rFonts w:ascii="仿宋_GB2312" w:eastAsia="仿宋_GB2312"/>
          <w:sz w:val="32"/>
          <w:szCs w:val="32"/>
        </w:rPr>
        <w:t xml:space="preserve">   </w:t>
      </w:r>
    </w:p>
    <w:p>
      <w:pPr>
        <w:widowControl/>
        <w:adjustRightInd w:val="0"/>
        <w:snapToGrid w:val="0"/>
        <w:spacing w:line="560" w:lineRule="exact"/>
        <w:rPr>
          <w:rFonts w:ascii="黑体" w:hAnsi="黑体" w:eastAsia="黑体"/>
          <w:sz w:val="32"/>
          <w:szCs w:val="36"/>
        </w:rPr>
      </w:pPr>
      <w:r>
        <w:rPr>
          <w:rFonts w:ascii="仿宋_GB2312" w:eastAsia="仿宋_GB2312"/>
          <w:sz w:val="32"/>
          <w:szCs w:val="32"/>
        </w:rPr>
        <w:br w:type="page"/>
      </w:r>
      <w:r>
        <w:rPr>
          <w:rFonts w:hint="eastAsia" w:ascii="黑体" w:hAnsi="黑体" w:eastAsia="黑体"/>
          <w:sz w:val="32"/>
          <w:szCs w:val="36"/>
        </w:rPr>
        <w:t>附件</w:t>
      </w:r>
    </w:p>
    <w:p>
      <w:pPr>
        <w:adjustRightInd w:val="0"/>
        <w:snapToGrid w:val="0"/>
        <w:spacing w:line="560" w:lineRule="exact"/>
        <w:rPr>
          <w:rFonts w:ascii="方正小标宋简体" w:eastAsia="方正小标宋简体"/>
          <w:sz w:val="36"/>
          <w:szCs w:val="36"/>
        </w:rPr>
      </w:pPr>
    </w:p>
    <w:p>
      <w:pPr>
        <w:adjustRightInd w:val="0"/>
        <w:snapToGrid w:val="0"/>
        <w:spacing w:line="560" w:lineRule="exact"/>
        <w:jc w:val="center"/>
        <w:rPr>
          <w:rFonts w:ascii="方正小标宋简体" w:eastAsia="方正小标宋简体"/>
          <w:sz w:val="44"/>
          <w:szCs w:val="40"/>
        </w:rPr>
      </w:pPr>
      <w:r>
        <w:rPr>
          <w:rFonts w:hint="eastAsia" w:ascii="方正小标宋简体" w:eastAsia="方正小标宋简体"/>
          <w:sz w:val="44"/>
          <w:szCs w:val="40"/>
        </w:rPr>
        <w:t>“双万计划”国家级一流本科课程</w:t>
      </w:r>
    </w:p>
    <w:p>
      <w:pPr>
        <w:adjustRightInd w:val="0"/>
        <w:snapToGrid w:val="0"/>
        <w:spacing w:line="560" w:lineRule="exact"/>
        <w:jc w:val="center"/>
        <w:rPr>
          <w:rFonts w:ascii="方正小标宋简体" w:eastAsia="方正小标宋简体"/>
          <w:sz w:val="44"/>
          <w:szCs w:val="40"/>
        </w:rPr>
      </w:pPr>
      <w:r>
        <w:rPr>
          <w:rFonts w:hint="eastAsia" w:ascii="方正小标宋简体" w:eastAsia="方正小标宋简体"/>
          <w:sz w:val="44"/>
          <w:szCs w:val="40"/>
        </w:rPr>
        <w:t>推荐认定办法</w:t>
      </w:r>
    </w:p>
    <w:p>
      <w:pPr>
        <w:adjustRightInd w:val="0"/>
        <w:snapToGrid w:val="0"/>
        <w:spacing w:line="560" w:lineRule="exact"/>
        <w:ind w:firstLine="720" w:firstLineChars="200"/>
        <w:rPr>
          <w:rFonts w:ascii="方正小标宋简体" w:eastAsia="方正小标宋简体"/>
          <w:sz w:val="36"/>
          <w:szCs w:val="36"/>
        </w:rPr>
      </w:pP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、推荐范围</w:t>
      </w:r>
    </w:p>
    <w:p>
      <w:pPr>
        <w:adjustRightInd w:val="0"/>
        <w:snapToGrid w:val="0"/>
        <w:spacing w:line="560" w:lineRule="exact"/>
        <w:ind w:firstLine="640" w:firstLineChars="200"/>
        <w:rPr>
          <w:rFonts w:ascii="黑体" w:hAnsi="黑体" w:eastAsia="黑体"/>
          <w:sz w:val="32"/>
          <w:szCs w:val="32"/>
        </w:rPr>
      </w:pPr>
      <w:r>
        <w:rPr>
          <w:rFonts w:hint="eastAsia" w:ascii="仿宋_GB2312" w:hAnsi="黑体" w:eastAsia="仿宋_GB2312"/>
          <w:sz w:val="32"/>
          <w:szCs w:val="32"/>
        </w:rPr>
        <w:t>普通本科高校纳入人才培养方案且设置学分的本科课程均可推荐，</w:t>
      </w:r>
      <w:r>
        <w:rPr>
          <w:rFonts w:hint="eastAsia" w:ascii="仿宋_GB2312" w:hAnsi="楷体" w:eastAsia="仿宋_GB2312" w:cs="楷体"/>
          <w:sz w:val="32"/>
          <w:szCs w:val="32"/>
        </w:rPr>
        <w:t>包括</w:t>
      </w:r>
      <w:r>
        <w:rPr>
          <w:rFonts w:hint="eastAsia" w:ascii="仿宋_GB2312" w:hAnsi="宋体" w:eastAsia="仿宋_GB2312"/>
          <w:sz w:val="32"/>
          <w:szCs w:val="32"/>
        </w:rPr>
        <w:t>思想政治理论课、公共基础课、专业基础课、专业课以及通识课等独立设置的本科理论课程、实验课程和社会实践课程</w:t>
      </w:r>
      <w:r>
        <w:rPr>
          <w:rFonts w:hint="eastAsia" w:ascii="仿宋_GB2312" w:hAnsi="宋体" w:eastAsia="仿宋_GB2312"/>
          <w:sz w:val="32"/>
          <w:szCs w:val="32"/>
          <w:lang w:eastAsia="zh-CN"/>
        </w:rPr>
        <w:t>等</w:t>
      </w:r>
      <w:r>
        <w:rPr>
          <w:rFonts w:hint="eastAsia" w:ascii="仿宋_GB2312" w:hAnsi="宋体" w:eastAsia="仿宋_GB2312"/>
          <w:sz w:val="32"/>
          <w:szCs w:val="32"/>
        </w:rPr>
        <w:t>。</w:t>
      </w:r>
      <w:r>
        <w:rPr>
          <w:rFonts w:ascii="黑体" w:hAnsi="黑体" w:eastAsia="黑体"/>
          <w:sz w:val="32"/>
          <w:szCs w:val="32"/>
        </w:rPr>
        <w:t xml:space="preserve"> </w:t>
      </w:r>
    </w:p>
    <w:p>
      <w:pPr>
        <w:adjustRightInd w:val="0"/>
        <w:snapToGrid w:val="0"/>
        <w:spacing w:line="56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、推荐类型与</w:t>
      </w:r>
      <w:r>
        <w:rPr>
          <w:rFonts w:ascii="黑体" w:hAnsi="黑体" w:eastAsia="黑体"/>
          <w:sz w:val="32"/>
          <w:szCs w:val="32"/>
        </w:rPr>
        <w:t>计划</w:t>
      </w:r>
    </w:p>
    <w:p>
      <w:pPr>
        <w:adjustRightInd w:val="0"/>
        <w:snapToGrid w:val="0"/>
        <w:spacing w:line="560" w:lineRule="exact"/>
        <w:ind w:firstLine="643" w:firstLineChars="200"/>
        <w:rPr>
          <w:rFonts w:ascii="仿宋_GB2312" w:hAnsi="宋体" w:eastAsia="仿宋_GB2312"/>
          <w:sz w:val="32"/>
          <w:szCs w:val="32"/>
        </w:rPr>
      </w:pPr>
      <w:r>
        <w:rPr>
          <w:rFonts w:hint="eastAsia" w:ascii="楷体" w:hAnsi="楷体" w:eastAsia="楷体"/>
          <w:b/>
          <w:sz w:val="32"/>
          <w:szCs w:val="32"/>
        </w:rPr>
        <w:t>（一）线上一流课程。</w:t>
      </w:r>
      <w:r>
        <w:rPr>
          <w:rFonts w:hint="eastAsia" w:ascii="仿宋_GB2312" w:hAnsi="楷体" w:eastAsia="仿宋_GB2312"/>
          <w:sz w:val="32"/>
          <w:szCs w:val="32"/>
        </w:rPr>
        <w:t>即国家精品在线开放课程，突出优质、开放、共享，</w:t>
      </w:r>
      <w:r>
        <w:rPr>
          <w:rFonts w:hint="eastAsia" w:ascii="仿宋_GB2312" w:hAnsi="仿宋" w:eastAsia="仿宋_GB2312" w:cs="仿宋"/>
          <w:kern w:val="0"/>
          <w:sz w:val="32"/>
          <w:szCs w:val="32"/>
        </w:rPr>
        <w:t>打造中国慕课品牌。完成</w:t>
      </w:r>
      <w:r>
        <w:rPr>
          <w:rFonts w:ascii="Times New Roman" w:hAnsi="Times New Roman" w:eastAsia="仿宋_GB2312" w:cs="Times New Roman"/>
          <w:sz w:val="32"/>
          <w:szCs w:val="32"/>
        </w:rPr>
        <w:t>4000</w:t>
      </w:r>
      <w:r>
        <w:rPr>
          <w:rFonts w:hint="eastAsia" w:ascii="仿宋_GB2312" w:hAnsi="宋体" w:eastAsia="仿宋_GB2312"/>
          <w:sz w:val="32"/>
          <w:szCs w:val="32"/>
        </w:rPr>
        <w:t>门左右国家精品在线开放课程认定，构建内容更加丰富、结构更加合理、类别更加全面的国家级精品慕课体系。</w:t>
      </w:r>
    </w:p>
    <w:p>
      <w:pPr>
        <w:adjustRightInd w:val="0"/>
        <w:snapToGrid w:val="0"/>
        <w:spacing w:line="560" w:lineRule="exact"/>
        <w:ind w:firstLine="643" w:firstLineChars="200"/>
        <w:rPr>
          <w:rFonts w:ascii="仿宋_GB2312" w:hAnsi="宋体" w:eastAsia="仿宋_GB2312"/>
          <w:sz w:val="32"/>
          <w:szCs w:val="32"/>
        </w:rPr>
      </w:pPr>
      <w:r>
        <w:rPr>
          <w:rFonts w:hint="eastAsia" w:ascii="楷体" w:hAnsi="楷体" w:eastAsia="楷体"/>
          <w:b/>
          <w:sz w:val="32"/>
          <w:szCs w:val="32"/>
        </w:rPr>
        <w:t>（二）线下一流课程。</w:t>
      </w:r>
      <w:r>
        <w:rPr>
          <w:rFonts w:hint="eastAsia" w:ascii="仿宋_GB2312" w:hAnsi="楷体" w:eastAsia="仿宋_GB2312"/>
          <w:sz w:val="32"/>
          <w:szCs w:val="32"/>
        </w:rPr>
        <w:t>主要指以面授为主的课程，以提升学生综合能力为重点，</w:t>
      </w:r>
      <w:r>
        <w:rPr>
          <w:rFonts w:hint="eastAsia" w:ascii="仿宋_GB2312" w:hAnsi="仿宋_GB2312" w:eastAsia="仿宋_GB2312" w:cs="仿宋_GB2312"/>
          <w:sz w:val="32"/>
          <w:szCs w:val="32"/>
        </w:rPr>
        <w:t>重塑课程内容，创新教学方法，</w:t>
      </w:r>
      <w:r>
        <w:rPr>
          <w:rFonts w:hint="eastAsia" w:ascii="仿宋_GB2312" w:hAnsi="宋体" w:eastAsia="仿宋_GB2312" w:cs="宋体"/>
          <w:spacing w:val="8"/>
          <w:kern w:val="0"/>
          <w:sz w:val="32"/>
          <w:szCs w:val="32"/>
        </w:rPr>
        <w:t>打破课堂沉默状态，焕发课堂生机活力，较好</w:t>
      </w:r>
      <w:r>
        <w:rPr>
          <w:rFonts w:hint="eastAsia" w:ascii="仿宋_GB2312" w:hAnsi="宋体" w:eastAsia="仿宋_GB2312"/>
          <w:sz w:val="32"/>
          <w:szCs w:val="32"/>
        </w:rPr>
        <w:t>发挥</w:t>
      </w:r>
      <w:r>
        <w:rPr>
          <w:rFonts w:hint="eastAsia" w:ascii="仿宋_GB2312" w:hAnsi="仿宋" w:eastAsia="仿宋_GB2312" w:cs="仿宋"/>
          <w:kern w:val="0"/>
          <w:sz w:val="32"/>
          <w:szCs w:val="32"/>
        </w:rPr>
        <w:t>课堂教学主阵地、主渠道、主战场作用</w:t>
      </w:r>
      <w:r>
        <w:rPr>
          <w:rFonts w:hint="eastAsia" w:ascii="仿宋_GB2312" w:eastAsia="仿宋_GB2312" w:cs="宋体" w:hAnsiTheme="minorEastAsia"/>
          <w:kern w:val="0"/>
          <w:sz w:val="32"/>
          <w:szCs w:val="32"/>
        </w:rPr>
        <w:t>。</w:t>
      </w:r>
      <w:r>
        <w:rPr>
          <w:rFonts w:hint="eastAsia" w:ascii="仿宋_GB2312" w:hAnsi="宋体" w:eastAsia="仿宋_GB2312"/>
          <w:sz w:val="32"/>
          <w:szCs w:val="32"/>
        </w:rPr>
        <w:t>认定</w:t>
      </w:r>
      <w:r>
        <w:rPr>
          <w:rFonts w:ascii="Times New Roman" w:hAnsi="Times New Roman" w:eastAsia="仿宋_GB2312" w:cs="Times New Roman"/>
          <w:sz w:val="32"/>
          <w:szCs w:val="32"/>
        </w:rPr>
        <w:t>400</w:t>
      </w:r>
      <w:r>
        <w:rPr>
          <w:rFonts w:hint="eastAsia" w:ascii="Times New Roman" w:hAnsi="Times New Roman" w:eastAsia="仿宋_GB2312" w:cs="Times New Roman"/>
          <w:sz w:val="32"/>
          <w:szCs w:val="32"/>
        </w:rPr>
        <w:t>0</w:t>
      </w:r>
      <w:r>
        <w:rPr>
          <w:rFonts w:hint="eastAsia" w:ascii="仿宋_GB2312" w:hAnsi="宋体" w:eastAsia="仿宋_GB2312"/>
          <w:sz w:val="32"/>
          <w:szCs w:val="32"/>
        </w:rPr>
        <w:t>门左右国家级线下一流课程。</w:t>
      </w:r>
    </w:p>
    <w:p>
      <w:pPr>
        <w:adjustRightInd w:val="0"/>
        <w:snapToGrid w:val="0"/>
        <w:spacing w:line="560" w:lineRule="exact"/>
        <w:ind w:firstLine="643" w:firstLineChars="200"/>
        <w:rPr>
          <w:rFonts w:ascii="仿宋_GB2312" w:hAnsi="宋体" w:eastAsia="仿宋_GB2312"/>
          <w:sz w:val="32"/>
          <w:szCs w:val="32"/>
        </w:rPr>
      </w:pPr>
      <w:r>
        <w:rPr>
          <w:rFonts w:hint="eastAsia" w:ascii="楷体" w:hAnsi="楷体" w:eastAsia="楷体"/>
          <w:b/>
          <w:sz w:val="32"/>
          <w:szCs w:val="32"/>
        </w:rPr>
        <w:t>（三）线上线下混合式一流课程。</w:t>
      </w:r>
      <w:r>
        <w:rPr>
          <w:rFonts w:hint="eastAsia" w:ascii="仿宋_GB2312" w:hAnsi="楷体" w:eastAsia="仿宋_GB2312"/>
          <w:sz w:val="32"/>
          <w:szCs w:val="32"/>
        </w:rPr>
        <w:t>主要指</w:t>
      </w:r>
      <w:r>
        <w:rPr>
          <w:rFonts w:hint="eastAsia" w:ascii="仿宋_GB2312" w:hAnsi="仿宋" w:eastAsia="仿宋_GB2312" w:cs="仿宋"/>
          <w:kern w:val="0"/>
          <w:sz w:val="32"/>
          <w:szCs w:val="32"/>
        </w:rPr>
        <w:t>基于</w:t>
      </w:r>
      <w:r>
        <w:rPr>
          <w:rFonts w:hint="eastAsia" w:ascii="仿宋_GB2312" w:hAnsi="宋体" w:eastAsia="仿宋_GB2312"/>
          <w:sz w:val="32"/>
          <w:szCs w:val="32"/>
        </w:rPr>
        <w:t>慕课、专属在线课程（</w:t>
      </w:r>
      <w:r>
        <w:rPr>
          <w:rFonts w:hint="eastAsia" w:ascii="Times New Roman" w:hAnsi="Times New Roman" w:eastAsia="仿宋_GB2312" w:cs="Times New Roman"/>
          <w:sz w:val="32"/>
          <w:szCs w:val="32"/>
        </w:rPr>
        <w:t>SPOC</w:t>
      </w:r>
      <w:r>
        <w:rPr>
          <w:rFonts w:hint="eastAsia" w:ascii="仿宋_GB2312" w:hAnsi="宋体" w:eastAsia="仿宋_GB2312"/>
          <w:sz w:val="32"/>
          <w:szCs w:val="32"/>
        </w:rPr>
        <w:t>）或其他在线课程</w:t>
      </w:r>
      <w:r>
        <w:rPr>
          <w:rFonts w:hint="eastAsia" w:ascii="仿宋_GB2312" w:hAnsi="仿宋" w:eastAsia="仿宋_GB2312" w:cs="仿宋"/>
          <w:kern w:val="0"/>
          <w:sz w:val="32"/>
          <w:szCs w:val="32"/>
        </w:rPr>
        <w:t>，</w:t>
      </w:r>
      <w:r>
        <w:rPr>
          <w:rFonts w:hint="eastAsia" w:ascii="仿宋_GB2312" w:hAnsi="宋体" w:eastAsia="仿宋_GB2312"/>
          <w:sz w:val="32"/>
          <w:szCs w:val="32"/>
        </w:rPr>
        <w:t>运用适当的数字化教学工具，</w:t>
      </w:r>
      <w:r>
        <w:rPr>
          <w:rFonts w:hint="eastAsia" w:ascii="仿宋_GB2312" w:hAnsi="仿宋" w:eastAsia="仿宋_GB2312" w:cs="仿宋"/>
          <w:kern w:val="0"/>
          <w:sz w:val="32"/>
          <w:szCs w:val="32"/>
        </w:rPr>
        <w:t>结合本校实际对校内课程进行改造，安排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仿宋_GB2312" w:hAnsi="仿宋" w:eastAsia="仿宋_GB2312" w:cs="仿宋"/>
          <w:kern w:val="0"/>
          <w:sz w:val="32"/>
          <w:szCs w:val="32"/>
        </w:rPr>
        <w:t>的教学时间实施学生</w:t>
      </w:r>
      <w:r>
        <w:rPr>
          <w:rFonts w:hint="eastAsia" w:ascii="仿宋_GB2312" w:hAnsi="仿宋" w:eastAsia="仿宋_GB2312" w:cs="仿宋"/>
          <w:kern w:val="0"/>
          <w:sz w:val="32"/>
          <w:szCs w:val="32"/>
        </w:rPr>
        <w:t>线上自主学习，与线下面授有机结合开展翻转课堂、混合式教学，打造在线课程与本校课堂教学相融合的混合式“金课”</w:t>
      </w:r>
      <w:r>
        <w:rPr>
          <w:rFonts w:hint="eastAsia" w:ascii="仿宋_GB2312" w:hAnsi="宋体" w:eastAsia="仿宋_GB2312"/>
          <w:sz w:val="32"/>
          <w:szCs w:val="32"/>
        </w:rPr>
        <w:t>。</w:t>
      </w:r>
      <w:r>
        <w:rPr>
          <w:rFonts w:hint="eastAsia" w:ascii="仿宋_GB2312" w:hAnsi="楷体" w:eastAsia="仿宋_GB2312"/>
          <w:sz w:val="32"/>
          <w:szCs w:val="32"/>
        </w:rPr>
        <w:t>大力倡导基于国家精品在线开放课程应用的线上线下混合式优质课程申报。</w:t>
      </w:r>
      <w:r>
        <w:rPr>
          <w:rFonts w:hint="eastAsia" w:ascii="仿宋_GB2312" w:hAnsi="宋体" w:eastAsia="仿宋_GB2312"/>
          <w:sz w:val="32"/>
          <w:szCs w:val="32"/>
        </w:rPr>
        <w:t>认定</w:t>
      </w:r>
      <w:r>
        <w:rPr>
          <w:rFonts w:ascii="Times New Roman" w:hAnsi="Times New Roman" w:eastAsia="仿宋_GB2312" w:cs="Times New Roman"/>
          <w:sz w:val="32"/>
          <w:szCs w:val="32"/>
        </w:rPr>
        <w:t>6000</w:t>
      </w:r>
      <w:r>
        <w:rPr>
          <w:rFonts w:ascii="仿宋_GB2312" w:hAnsi="宋体" w:eastAsia="仿宋_GB2312"/>
          <w:sz w:val="32"/>
          <w:szCs w:val="32"/>
        </w:rPr>
        <w:t>门左右国家级</w:t>
      </w:r>
      <w:r>
        <w:rPr>
          <w:rFonts w:hint="eastAsia" w:ascii="仿宋_GB2312" w:hAnsi="楷体" w:eastAsia="仿宋_GB2312"/>
          <w:sz w:val="32"/>
          <w:szCs w:val="32"/>
        </w:rPr>
        <w:t>线上线下混合式一流课程。</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（四）虚拟仿真实验教学一流课程。</w:t>
      </w:r>
      <w:r>
        <w:rPr>
          <w:rFonts w:hint="eastAsia" w:ascii="仿宋_GB2312" w:hAnsi="仿宋" w:eastAsia="仿宋_GB2312" w:cs="仿宋"/>
          <w:kern w:val="0"/>
          <w:sz w:val="32"/>
          <w:szCs w:val="32"/>
        </w:rPr>
        <w:t>着力解决真实实验条件不具备或实际运行困难，涉及高危或极端环境，高成本、高消耗、不可逆操作、大型综合训练等问题。完成</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500</w:t>
      </w:r>
      <w:r>
        <w:rPr>
          <w:rFonts w:hint="eastAsia" w:ascii="仿宋_GB2312" w:hAnsi="宋体" w:eastAsia="仿宋_GB2312"/>
          <w:sz w:val="32"/>
          <w:szCs w:val="32"/>
        </w:rPr>
        <w:t>门左右国家虚拟仿真实验教学一流课程认定，</w:t>
      </w:r>
      <w:r>
        <w:rPr>
          <w:rFonts w:hint="eastAsia" w:ascii="仿宋_GB2312" w:hAnsi="仿宋" w:eastAsia="仿宋_GB2312" w:cs="仿宋"/>
          <w:kern w:val="0"/>
          <w:sz w:val="32"/>
          <w:szCs w:val="32"/>
        </w:rPr>
        <w:t>形成</w:t>
      </w:r>
      <w:r>
        <w:rPr>
          <w:rFonts w:hint="eastAsia" w:ascii="仿宋_GB2312" w:hAnsi="微软雅黑" w:eastAsia="仿宋_GB2312"/>
          <w:sz w:val="32"/>
          <w:szCs w:val="32"/>
        </w:rPr>
        <w:t>专业布局合理、教学效果优良、开放共享有效的高等教育信息化实验教学体系</w:t>
      </w:r>
      <w:r>
        <w:rPr>
          <w:rFonts w:ascii="仿宋" w:hAnsi="仿宋" w:eastAsia="仿宋" w:cs="仿宋"/>
          <w:sz w:val="32"/>
          <w:szCs w:val="32"/>
        </w:rPr>
        <w:t>。</w:t>
      </w:r>
    </w:p>
    <w:p>
      <w:pPr>
        <w:adjustRightInd w:val="0"/>
        <w:snapToGrid w:val="0"/>
        <w:spacing w:line="560" w:lineRule="exact"/>
        <w:ind w:firstLine="643" w:firstLineChars="200"/>
        <w:rPr>
          <w:rFonts w:ascii="仿宋" w:hAnsi="仿宋" w:eastAsia="仿宋" w:cs="仿宋"/>
          <w:sz w:val="32"/>
          <w:szCs w:val="32"/>
        </w:rPr>
      </w:pPr>
      <w:r>
        <w:rPr>
          <w:rFonts w:hint="eastAsia" w:ascii="楷体" w:hAnsi="楷体" w:eastAsia="楷体"/>
          <w:b/>
          <w:sz w:val="32"/>
          <w:szCs w:val="32"/>
        </w:rPr>
        <w:t>（五）社会实践一流课程。</w:t>
      </w:r>
      <w:r>
        <w:rPr>
          <w:rFonts w:hint="eastAsia" w:ascii="仿宋_GB2312" w:hAnsi="楷体" w:eastAsia="仿宋_GB2312"/>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ascii="Times New Roman" w:hAnsi="Times New Roman" w:eastAsia="仿宋_GB2312" w:cs="Times New Roman"/>
          <w:sz w:val="32"/>
          <w:szCs w:val="32"/>
        </w:rPr>
        <w:t>70%</w:t>
      </w:r>
      <w:r>
        <w:rPr>
          <w:rFonts w:ascii="仿宋_GB2312" w:hAnsi="楷体" w:eastAsia="仿宋_GB2312"/>
          <w:sz w:val="32"/>
          <w:szCs w:val="32"/>
        </w:rPr>
        <w:t>以上学时深入基层，</w:t>
      </w:r>
      <w:r>
        <w:rPr>
          <w:rFonts w:hint="eastAsia" w:ascii="仿宋_GB2312" w:hAnsi="楷体" w:eastAsia="仿宋_GB2312"/>
          <w:sz w:val="32"/>
          <w:szCs w:val="32"/>
        </w:rPr>
        <w:t>保证</w:t>
      </w:r>
      <w:r>
        <w:rPr>
          <w:rFonts w:ascii="仿宋_GB2312" w:hAnsi="楷体" w:eastAsia="仿宋_GB2312"/>
          <w:sz w:val="32"/>
          <w:szCs w:val="32"/>
        </w:rPr>
        <w:t>课程规范化和可持续发展。认定</w:t>
      </w:r>
      <w:r>
        <w:rPr>
          <w:rFonts w:ascii="Times New Roman" w:hAnsi="Times New Roman" w:eastAsia="仿宋_GB2312" w:cs="Times New Roman"/>
          <w:sz w:val="32"/>
          <w:szCs w:val="32"/>
        </w:rPr>
        <w:t>1000</w:t>
      </w:r>
      <w:r>
        <w:rPr>
          <w:rFonts w:ascii="仿宋_GB2312" w:hAnsi="楷体" w:eastAsia="仿宋_GB2312"/>
          <w:sz w:val="32"/>
          <w:szCs w:val="32"/>
        </w:rPr>
        <w:t>门左右国家级社会实践一流课程。</w:t>
      </w:r>
    </w:p>
    <w:p>
      <w:pPr>
        <w:adjustRightInd w:val="0"/>
        <w:snapToGrid w:val="0"/>
        <w:spacing w:line="560" w:lineRule="exact"/>
        <w:ind w:firstLine="640" w:firstLineChars="200"/>
        <w:rPr>
          <w:rFonts w:ascii="黑体" w:hAnsi="黑体" w:eastAsia="黑体" w:cs="仿宋"/>
          <w:sz w:val="32"/>
          <w:szCs w:val="32"/>
        </w:rPr>
      </w:pPr>
      <w:r>
        <w:rPr>
          <w:rFonts w:hint="eastAsia" w:ascii="黑体" w:hAnsi="黑体" w:eastAsia="黑体"/>
          <w:sz w:val="32"/>
          <w:szCs w:val="32"/>
        </w:rPr>
        <w:t>三、推荐条件</w:t>
      </w:r>
    </w:p>
    <w:p>
      <w:pPr>
        <w:adjustRightInd w:val="0"/>
        <w:snapToGrid w:val="0"/>
        <w:spacing w:line="560" w:lineRule="exact"/>
        <w:ind w:firstLine="640" w:firstLineChars="200"/>
        <w:rPr>
          <w:rFonts w:ascii="仿宋_GB2312" w:hAnsi="楷体" w:eastAsia="仿宋_GB2312"/>
          <w:bCs/>
          <w:sz w:val="32"/>
          <w:szCs w:val="32"/>
        </w:rPr>
      </w:pPr>
      <w:r>
        <w:rPr>
          <w:rFonts w:hint="eastAsia" w:ascii="仿宋_GB2312" w:hAnsi="宋体" w:eastAsia="仿宋_GB2312"/>
          <w:sz w:val="32"/>
          <w:szCs w:val="32"/>
        </w:rPr>
        <w:t>推荐课程须至少经过两个学期或两个教学周期的建设和完善，取得实质性改革成效，</w:t>
      </w:r>
      <w:r>
        <w:rPr>
          <w:rFonts w:hint="eastAsia" w:ascii="仿宋_GB2312" w:hAnsi="仿宋" w:eastAsia="仿宋_GB2312"/>
          <w:sz w:val="32"/>
          <w:szCs w:val="32"/>
        </w:rPr>
        <w:t>在同类课程中具有鲜明特色、良好的教学效果，</w:t>
      </w:r>
      <w:r>
        <w:rPr>
          <w:rFonts w:hint="eastAsia" w:ascii="仿宋_GB2312" w:hAnsi="宋体" w:eastAsia="仿宋_GB2312"/>
          <w:sz w:val="32"/>
          <w:szCs w:val="32"/>
        </w:rPr>
        <w:t>并承诺入选后将持续改进。</w:t>
      </w:r>
      <w:r>
        <w:rPr>
          <w:rFonts w:hint="eastAsia" w:ascii="仿宋_GB2312" w:hAnsi="楷体" w:eastAsia="仿宋_GB2312"/>
          <w:bCs/>
          <w:sz w:val="32"/>
          <w:szCs w:val="32"/>
        </w:rPr>
        <w:t>符合相关类型课程基本形态和特殊要求的同时，在以下</w:t>
      </w:r>
      <w:r>
        <w:rPr>
          <w:rFonts w:hint="eastAsia" w:ascii="仿宋_GB2312" w:hAnsi="仿宋" w:eastAsia="仿宋_GB2312"/>
          <w:sz w:val="32"/>
          <w:szCs w:val="32"/>
        </w:rPr>
        <w:t>多个方面具备实质性创新，有较大的借鉴和推广价值。</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（一）教学</w:t>
      </w:r>
      <w:r>
        <w:rPr>
          <w:rFonts w:ascii="楷体" w:hAnsi="楷体" w:eastAsia="楷体"/>
          <w:b/>
          <w:bCs/>
          <w:sz w:val="32"/>
          <w:szCs w:val="32"/>
        </w:rPr>
        <w:t>理念先进</w:t>
      </w:r>
      <w:r>
        <w:rPr>
          <w:rFonts w:hint="eastAsia" w:ascii="楷体" w:hAnsi="楷体" w:eastAsia="楷体"/>
          <w:b/>
          <w:bCs/>
          <w:sz w:val="32"/>
          <w:szCs w:val="32"/>
        </w:rPr>
        <w:t>。</w:t>
      </w:r>
      <w:r>
        <w:rPr>
          <w:rFonts w:hint="eastAsia" w:ascii="仿宋_GB2312" w:hAnsi="楷体" w:eastAsia="仿宋_GB2312"/>
          <w:bCs/>
          <w:sz w:val="32"/>
          <w:szCs w:val="32"/>
        </w:rPr>
        <w:t>坚持立德树人，体现以学生发展为中心，致力于开启学生内在潜力和学习动力，注重学生德智体美劳全面发展。</w:t>
      </w:r>
    </w:p>
    <w:p>
      <w:pPr>
        <w:adjustRightInd w:val="0"/>
        <w:snapToGrid w:val="0"/>
        <w:spacing w:line="560" w:lineRule="exact"/>
        <w:ind w:firstLine="643" w:firstLineChars="200"/>
        <w:rPr>
          <w:rFonts w:ascii="仿宋" w:hAnsi="仿宋" w:eastAsia="仿宋"/>
          <w:sz w:val="24"/>
          <w:szCs w:val="24"/>
        </w:rPr>
      </w:pPr>
      <w:r>
        <w:rPr>
          <w:rFonts w:hint="eastAsia" w:ascii="楷体" w:hAnsi="楷体" w:eastAsia="楷体"/>
          <w:b/>
          <w:bCs/>
          <w:sz w:val="32"/>
          <w:szCs w:val="32"/>
        </w:rPr>
        <w:t>（二）</w:t>
      </w:r>
      <w:r>
        <w:rPr>
          <w:rFonts w:ascii="楷体" w:hAnsi="楷体" w:eastAsia="楷体"/>
          <w:b/>
          <w:bCs/>
          <w:sz w:val="32"/>
          <w:szCs w:val="32"/>
        </w:rPr>
        <w:t>课程教学团队教学成果显著</w:t>
      </w:r>
      <w:r>
        <w:rPr>
          <w:rFonts w:hint="eastAsia" w:ascii="楷体" w:hAnsi="楷体" w:eastAsia="楷体"/>
          <w:b/>
          <w:bCs/>
          <w:sz w:val="32"/>
          <w:szCs w:val="32"/>
        </w:rPr>
        <w:t>。</w:t>
      </w:r>
      <w:r>
        <w:rPr>
          <w:rFonts w:hint="eastAsia" w:ascii="仿宋_GB2312" w:hAnsi="楷体" w:eastAsia="仿宋_GB2312"/>
          <w:bCs/>
          <w:sz w:val="32"/>
          <w:szCs w:val="32"/>
        </w:rPr>
        <w:t>课程团队</w:t>
      </w:r>
      <w:r>
        <w:rPr>
          <w:rFonts w:hint="eastAsia" w:ascii="仿宋_GB2312" w:hAnsi="仿宋" w:eastAsia="仿宋_GB2312"/>
          <w:color w:val="000000" w:themeColor="text1"/>
          <w:sz w:val="32"/>
          <w:szCs w:val="32"/>
          <w:lang w:eastAsia="zh-CN"/>
          <w14:textFill>
            <w14:solidFill>
              <w14:schemeClr w14:val="tx1"/>
            </w14:solidFill>
          </w14:textFill>
        </w:rPr>
        <w:t>教学改革</w:t>
      </w:r>
      <w:r>
        <w:rPr>
          <w:rFonts w:hint="eastAsia" w:ascii="仿宋_GB2312" w:hAnsi="仿宋" w:eastAsia="仿宋_GB2312"/>
          <w:color w:val="000000" w:themeColor="text1"/>
          <w:sz w:val="32"/>
          <w:szCs w:val="32"/>
          <w14:textFill>
            <w14:solidFill>
              <w14:schemeClr w14:val="tx1"/>
            </w14:solidFill>
          </w14:textFill>
        </w:rPr>
        <w:t>意识强烈、理念先进，</w:t>
      </w:r>
      <w:r>
        <w:rPr>
          <w:rFonts w:hint="eastAsia" w:ascii="仿宋_GB2312" w:hAnsi="仿宋" w:eastAsia="仿宋_GB2312"/>
          <w:sz w:val="32"/>
          <w:szCs w:val="32"/>
        </w:rPr>
        <w:t>人员结构及任务分工合理。</w:t>
      </w:r>
      <w:r>
        <w:rPr>
          <w:rFonts w:hint="eastAsia" w:ascii="仿宋_GB2312" w:hAnsi="楷体" w:eastAsia="仿宋_GB2312"/>
          <w:bCs/>
          <w:sz w:val="32"/>
          <w:szCs w:val="32"/>
        </w:rPr>
        <w:t>主讲教师</w:t>
      </w:r>
      <w:r>
        <w:rPr>
          <w:rFonts w:hint="eastAsia" w:ascii="仿宋_GB2312" w:hAnsi="仿宋" w:eastAsia="仿宋_GB2312"/>
          <w:sz w:val="32"/>
          <w:szCs w:val="32"/>
        </w:rPr>
        <w:t>具备良好的师德师风，</w:t>
      </w:r>
      <w:r>
        <w:rPr>
          <w:rFonts w:hint="eastAsia" w:ascii="仿宋_GB2312" w:eastAsia="仿宋_GB2312"/>
          <w:sz w:val="32"/>
          <w:szCs w:val="32"/>
        </w:rPr>
        <w:t>具有丰富的教学经验、较高学术造诣，</w:t>
      </w:r>
      <w:r>
        <w:rPr>
          <w:rFonts w:hint="eastAsia" w:ascii="仿宋_GB2312" w:hAnsi="仿宋" w:eastAsia="仿宋_GB2312"/>
          <w:sz w:val="32"/>
          <w:szCs w:val="32"/>
        </w:rPr>
        <w:t>积极投身教学改革，教学能力强，能够运用新技术提高教学效率、提升教学质量。</w:t>
      </w:r>
    </w:p>
    <w:p>
      <w:pPr>
        <w:adjustRightInd w:val="0"/>
        <w:snapToGrid w:val="0"/>
        <w:spacing w:line="560" w:lineRule="exact"/>
        <w:ind w:firstLine="643" w:firstLineChars="200"/>
        <w:rPr>
          <w:rFonts w:ascii="仿宋_GB2312" w:hAnsi="仿宋" w:eastAsia="仿宋_GB2312"/>
          <w:sz w:val="32"/>
          <w:szCs w:val="32"/>
        </w:rPr>
      </w:pPr>
      <w:r>
        <w:rPr>
          <w:rFonts w:hint="eastAsia" w:ascii="楷体" w:hAnsi="楷体" w:eastAsia="楷体"/>
          <w:b/>
          <w:bCs/>
          <w:sz w:val="32"/>
          <w:szCs w:val="32"/>
        </w:rPr>
        <w:t>（三）课程</w:t>
      </w:r>
      <w:r>
        <w:rPr>
          <w:rFonts w:ascii="楷体" w:hAnsi="楷体" w:eastAsia="楷体"/>
          <w:b/>
          <w:bCs/>
          <w:sz w:val="32"/>
          <w:szCs w:val="32"/>
        </w:rPr>
        <w:t>目标有效支撑培养目标达成</w:t>
      </w:r>
      <w:r>
        <w:rPr>
          <w:rFonts w:hint="eastAsia" w:ascii="楷体" w:hAnsi="楷体" w:eastAsia="楷体"/>
          <w:b/>
          <w:bCs/>
          <w:sz w:val="32"/>
          <w:szCs w:val="32"/>
        </w:rPr>
        <w:t>。</w:t>
      </w:r>
      <w:r>
        <w:rPr>
          <w:rFonts w:hint="eastAsia" w:ascii="仿宋_GB2312" w:hAnsi="楷体" w:eastAsia="仿宋_GB2312"/>
          <w:bCs/>
          <w:sz w:val="32"/>
          <w:szCs w:val="32"/>
        </w:rPr>
        <w:t>课程目标符合学校办学定位和人才培养目标，注重知识、能力、素质培养。</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（四）</w:t>
      </w:r>
      <w:r>
        <w:rPr>
          <w:rFonts w:ascii="楷体" w:hAnsi="楷体" w:eastAsia="楷体"/>
          <w:b/>
          <w:bCs/>
          <w:sz w:val="32"/>
          <w:szCs w:val="32"/>
        </w:rPr>
        <w:t>课程教学设计科学合理</w:t>
      </w:r>
      <w:r>
        <w:rPr>
          <w:rFonts w:hint="eastAsia" w:ascii="楷体" w:hAnsi="楷体" w:eastAsia="楷体"/>
          <w:b/>
          <w:bCs/>
          <w:sz w:val="32"/>
          <w:szCs w:val="32"/>
        </w:rPr>
        <w:t>。</w:t>
      </w:r>
      <w:r>
        <w:rPr>
          <w:rFonts w:hint="eastAsia" w:ascii="仿宋_GB2312" w:hAnsi="黑体" w:eastAsia="仿宋_GB2312"/>
          <w:sz w:val="32"/>
          <w:szCs w:val="32"/>
        </w:rPr>
        <w:t>围绕目标达成、教学内容、组织实施和多元评价需求进行整体规划，</w:t>
      </w:r>
      <w:r>
        <w:rPr>
          <w:rFonts w:hint="eastAsia" w:ascii="仿宋_GB2312" w:hAnsi="仿宋" w:eastAsia="仿宋_GB2312"/>
          <w:sz w:val="32"/>
          <w:szCs w:val="32"/>
        </w:rPr>
        <w:t>教学策略、教学方法、教学过程、教学评价等设计合理。</w:t>
      </w:r>
    </w:p>
    <w:p>
      <w:pPr>
        <w:adjustRightInd w:val="0"/>
        <w:snapToGrid w:val="0"/>
        <w:spacing w:line="560" w:lineRule="exact"/>
        <w:ind w:firstLine="643" w:firstLineChars="200"/>
        <w:rPr>
          <w:rFonts w:ascii="仿宋_GB2312" w:hAnsi="仿宋" w:eastAsia="仿宋_GB2312"/>
          <w:sz w:val="24"/>
          <w:szCs w:val="24"/>
        </w:rPr>
      </w:pPr>
      <w:r>
        <w:rPr>
          <w:rFonts w:hint="eastAsia" w:ascii="楷体" w:hAnsi="楷体" w:eastAsia="楷体"/>
          <w:b/>
          <w:bCs/>
          <w:sz w:val="32"/>
          <w:szCs w:val="32"/>
        </w:rPr>
        <w:t>（五）课程内容与时俱进。</w:t>
      </w:r>
      <w:r>
        <w:rPr>
          <w:rFonts w:hint="eastAsia" w:ascii="仿宋_GB2312" w:hAnsi="仿宋" w:eastAsia="仿宋_GB2312"/>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pPr>
        <w:adjustRightInd w:val="0"/>
        <w:snapToGrid w:val="0"/>
        <w:spacing w:line="560" w:lineRule="exact"/>
        <w:ind w:firstLine="643" w:firstLineChars="200"/>
        <w:rPr>
          <w:rFonts w:ascii="仿宋_GB2312" w:hAnsi="楷体" w:eastAsia="仿宋_GB2312"/>
          <w:bCs/>
          <w:sz w:val="32"/>
          <w:szCs w:val="32"/>
        </w:rPr>
      </w:pPr>
      <w:r>
        <w:rPr>
          <w:rFonts w:hint="eastAsia" w:ascii="楷体" w:hAnsi="楷体" w:eastAsia="楷体"/>
          <w:b/>
          <w:bCs/>
          <w:sz w:val="32"/>
          <w:szCs w:val="32"/>
        </w:rPr>
        <w:t>（六）</w:t>
      </w:r>
      <w:r>
        <w:rPr>
          <w:rFonts w:ascii="楷体" w:hAnsi="楷体" w:eastAsia="楷体"/>
          <w:b/>
          <w:bCs/>
          <w:sz w:val="32"/>
          <w:szCs w:val="32"/>
        </w:rPr>
        <w:t>教学组织与实施</w:t>
      </w:r>
      <w:r>
        <w:rPr>
          <w:rFonts w:hint="eastAsia" w:ascii="楷体" w:hAnsi="楷体" w:eastAsia="楷体"/>
          <w:b/>
          <w:sz w:val="32"/>
          <w:szCs w:val="32"/>
        </w:rPr>
        <w:t>突出学生中心地位</w:t>
      </w:r>
      <w:r>
        <w:rPr>
          <w:rFonts w:hint="eastAsia" w:ascii="楷体" w:hAnsi="楷体" w:eastAsia="楷体" w:cs="宋体"/>
          <w:b/>
          <w:kern w:val="0"/>
          <w:sz w:val="32"/>
          <w:szCs w:val="32"/>
        </w:rPr>
        <w:t>。</w:t>
      </w:r>
      <w:r>
        <w:rPr>
          <w:rFonts w:hint="eastAsia" w:ascii="仿宋_GB2312" w:hAnsi="仿宋" w:eastAsia="仿宋_GB2312"/>
          <w:sz w:val="32"/>
          <w:szCs w:val="32"/>
        </w:rPr>
        <w:t>根据学生认知规律和接受特点，</w:t>
      </w:r>
      <w:r>
        <w:rPr>
          <w:rFonts w:hint="eastAsia" w:ascii="仿宋_GB2312" w:hAnsi="仿宋_GB2312" w:eastAsia="仿宋_GB2312" w:cs="仿宋_GB2312"/>
          <w:sz w:val="32"/>
          <w:szCs w:val="32"/>
        </w:rPr>
        <w:t>创新教与学模式，因材施教，促进师生之间、学生之间的交流互动、资源共享、知识生成，</w:t>
      </w:r>
      <w:r>
        <w:rPr>
          <w:rFonts w:hint="eastAsia" w:ascii="仿宋_GB2312" w:hAnsi="仿宋" w:eastAsia="仿宋_GB2312"/>
          <w:sz w:val="32"/>
          <w:szCs w:val="32"/>
        </w:rPr>
        <w:t>教学反馈及时，教学效果显著。</w:t>
      </w:r>
    </w:p>
    <w:p>
      <w:pPr>
        <w:adjustRightInd w:val="0"/>
        <w:snapToGrid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（七）</w:t>
      </w:r>
      <w:r>
        <w:rPr>
          <w:rFonts w:ascii="楷体" w:hAnsi="楷体" w:eastAsia="楷体"/>
          <w:b/>
          <w:bCs/>
          <w:sz w:val="32"/>
          <w:szCs w:val="32"/>
        </w:rPr>
        <w:t>课程管理与评价科学且可测量</w:t>
      </w:r>
      <w:r>
        <w:rPr>
          <w:rFonts w:hint="eastAsia" w:ascii="楷体" w:hAnsi="楷体" w:eastAsia="楷体"/>
          <w:b/>
          <w:bCs/>
          <w:sz w:val="32"/>
          <w:szCs w:val="32"/>
        </w:rPr>
        <w:t>。</w:t>
      </w:r>
      <w:r>
        <w:rPr>
          <w:rFonts w:hint="eastAsia" w:ascii="仿宋_GB2312" w:hAnsi="仿宋" w:eastAsia="仿宋_GB2312"/>
          <w:sz w:val="32"/>
          <w:szCs w:val="32"/>
        </w:rPr>
        <w:t>教师备课要求明确，学生学习管理严格。</w:t>
      </w:r>
      <w:r>
        <w:rPr>
          <w:rFonts w:hint="eastAsia" w:ascii="仿宋_GB2312" w:hAnsi="仿宋" w:eastAsia="仿宋_GB2312"/>
          <w:color w:val="000000" w:themeColor="text1"/>
          <w:sz w:val="32"/>
          <w:szCs w:val="32"/>
          <w14:textFill>
            <w14:solidFill>
              <w14:schemeClr w14:val="tx1"/>
            </w14:solidFill>
          </w14:textFill>
        </w:rPr>
        <w:t>针对教学目标、教学内容、教学组织等采用多元化考核评价，</w:t>
      </w:r>
      <w:r>
        <w:rPr>
          <w:rFonts w:hint="eastAsia" w:ascii="仿宋_GB2312" w:hAnsi="黑体" w:eastAsia="仿宋_GB2312"/>
          <w:color w:val="000000" w:themeColor="text1"/>
          <w:sz w:val="32"/>
          <w:szCs w:val="32"/>
          <w14:textFill>
            <w14:solidFill>
              <w14:schemeClr w14:val="tx1"/>
            </w14:solidFill>
          </w14:textFill>
        </w:rPr>
        <w:t>过程可回溯，诊断改进积极有效。</w:t>
      </w:r>
      <w:r>
        <w:rPr>
          <w:rFonts w:hint="eastAsia" w:ascii="仿宋_GB2312" w:hAnsi="仿宋" w:eastAsia="仿宋_GB2312"/>
          <w:color w:val="000000" w:themeColor="text1"/>
          <w:sz w:val="32"/>
          <w:szCs w:val="32"/>
          <w14:textFill>
            <w14:solidFill>
              <w14:schemeClr w14:val="tx1"/>
            </w14:solidFill>
          </w14:textFill>
        </w:rPr>
        <w:t>教学过程材料完整，可借鉴可监督。</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四、推荐方式</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除</w:t>
      </w:r>
      <w:r>
        <w:rPr>
          <w:rFonts w:hint="eastAsia" w:ascii="Times New Roman" w:hAnsi="Times New Roman" w:eastAsia="仿宋_GB2312"/>
          <w:color w:val="000000"/>
          <w:sz w:val="32"/>
          <w:szCs w:val="32"/>
        </w:rPr>
        <w:t>线上一流课程、</w:t>
      </w:r>
      <w:r>
        <w:rPr>
          <w:rFonts w:hint="eastAsia" w:ascii="仿宋_GB2312" w:hAnsi="宋体" w:eastAsia="仿宋_GB2312"/>
          <w:sz w:val="32"/>
          <w:szCs w:val="32"/>
        </w:rPr>
        <w:t>虚拟仿真实验教学一流课程继续按有关文件实施外，线下一流课程、线上线下混合式一流课程和社会实践一流课程采用以下推荐方式</w:t>
      </w:r>
      <w:r>
        <w:rPr>
          <w:rFonts w:hint="eastAsia" w:ascii="Times New Roman" w:hAnsi="Times New Roman" w:eastAsia="仿宋_GB2312"/>
          <w:color w:val="000000"/>
          <w:sz w:val="32"/>
          <w:szCs w:val="32"/>
        </w:rPr>
        <w:t>。</w:t>
      </w:r>
    </w:p>
    <w:p>
      <w:pPr>
        <w:adjustRightInd w:val="0"/>
        <w:snapToGrid w:val="0"/>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（一）推荐总额</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教育部按照国家级线下一流课程、线上线下混合式一流课程和社会实践一流课程三年计划总数</w:t>
      </w:r>
      <w:r>
        <w:rPr>
          <w:rFonts w:ascii="仿宋_GB2312" w:hAnsi="宋体" w:eastAsia="仿宋_GB2312"/>
          <w:sz w:val="32"/>
          <w:szCs w:val="32"/>
        </w:rPr>
        <w:t>确定推荐总额</w:t>
      </w:r>
      <w:r>
        <w:rPr>
          <w:rFonts w:hint="eastAsia" w:ascii="仿宋_GB2312" w:hAnsi="宋体" w:eastAsia="仿宋_GB2312"/>
          <w:sz w:val="32"/>
          <w:szCs w:val="32"/>
        </w:rPr>
        <w:t>，分别下达至中央部门所属高校和各省级教育行政部门。</w:t>
      </w:r>
    </w:p>
    <w:p>
      <w:pPr>
        <w:numPr>
          <w:ilvl w:val="0"/>
          <w:numId w:val="1"/>
        </w:numPr>
        <w:adjustRightInd w:val="0"/>
        <w:snapToGrid w:val="0"/>
        <w:spacing w:line="560" w:lineRule="exact"/>
        <w:ind w:firstLine="643" w:firstLineChars="200"/>
        <w:rPr>
          <w:rFonts w:ascii="楷体_GB2312" w:eastAsia="楷体_GB2312"/>
          <w:b/>
          <w:bCs/>
          <w:sz w:val="32"/>
          <w:szCs w:val="32"/>
        </w:rPr>
      </w:pPr>
      <w:r>
        <w:rPr>
          <w:rFonts w:hint="eastAsia" w:ascii="楷体_GB2312" w:eastAsia="楷体_GB2312"/>
          <w:b/>
          <w:bCs/>
          <w:sz w:val="32"/>
          <w:szCs w:val="32"/>
        </w:rPr>
        <w:t>分赛道推荐</w:t>
      </w:r>
    </w:p>
    <w:p>
      <w:pPr>
        <w:adjustRightInd w:val="0"/>
        <w:snapToGrid w:val="0"/>
        <w:spacing w:line="560" w:lineRule="exact"/>
        <w:ind w:firstLine="640" w:firstLineChars="200"/>
        <w:rPr>
          <w:rFonts w:ascii="仿宋_GB2312" w:hAnsi="楷体" w:eastAsia="仿宋_GB2312" w:cs="Times New Roman"/>
          <w:sz w:val="32"/>
        </w:rPr>
      </w:pPr>
      <w:r>
        <w:rPr>
          <w:rFonts w:hint="eastAsia" w:ascii="仿宋_GB2312" w:hAnsi="宋体" w:eastAsia="仿宋_GB2312"/>
          <w:sz w:val="32"/>
          <w:szCs w:val="32"/>
        </w:rPr>
        <w:t>按照中央部门所属高校、地方高校的办学定位和培养目标特点分赛道推荐，名额分列。部省合建高校推荐课程纳入中央部门</w:t>
      </w:r>
      <w:r>
        <w:rPr>
          <w:rFonts w:hint="eastAsia" w:ascii="仿宋_GB2312" w:hAnsi="宋体" w:eastAsia="仿宋_GB2312"/>
          <w:sz w:val="32"/>
          <w:szCs w:val="32"/>
          <w:lang w:eastAsia="zh-CN"/>
        </w:rPr>
        <w:t>所属</w:t>
      </w:r>
      <w:r>
        <w:rPr>
          <w:rFonts w:hint="eastAsia" w:ascii="仿宋_GB2312" w:hAnsi="宋体" w:eastAsia="仿宋_GB2312"/>
          <w:sz w:val="32"/>
          <w:szCs w:val="32"/>
        </w:rPr>
        <w:t>高校赛道。</w:t>
      </w:r>
    </w:p>
    <w:p>
      <w:pPr>
        <w:adjustRightInd w:val="0"/>
        <w:snapToGrid w:val="0"/>
        <w:spacing w:line="560" w:lineRule="exact"/>
        <w:ind w:firstLine="643" w:firstLineChars="200"/>
        <w:rPr>
          <w:rFonts w:ascii="楷体" w:hAnsi="楷体" w:eastAsia="楷体"/>
          <w:b/>
          <w:color w:val="000000"/>
          <w:sz w:val="32"/>
          <w:szCs w:val="32"/>
        </w:rPr>
      </w:pPr>
      <w:r>
        <w:rPr>
          <w:rFonts w:hint="eastAsia" w:ascii="楷体" w:hAnsi="楷体" w:eastAsia="楷体" w:cs="Times New Roman"/>
          <w:b/>
          <w:sz w:val="32"/>
        </w:rPr>
        <w:t>（三）推荐方式</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微软雅黑" w:eastAsia="仿宋_GB2312"/>
          <w:sz w:val="32"/>
          <w:szCs w:val="32"/>
        </w:rPr>
        <w:t>中央部门所属高校、</w:t>
      </w:r>
      <w:r>
        <w:rPr>
          <w:rFonts w:hint="eastAsia" w:ascii="仿宋_GB2312" w:hAnsi="宋体" w:eastAsia="仿宋_GB2312"/>
          <w:sz w:val="32"/>
          <w:szCs w:val="32"/>
        </w:rPr>
        <w:t>各</w:t>
      </w:r>
      <w:r>
        <w:rPr>
          <w:rFonts w:hint="eastAsia" w:ascii="仿宋_GB2312" w:hAnsi="楷体" w:eastAsia="仿宋_GB2312" w:cs="Times New Roman"/>
          <w:sz w:val="32"/>
          <w:szCs w:val="32"/>
        </w:rPr>
        <w:t>省级教育行政部门</w:t>
      </w:r>
      <w:r>
        <w:rPr>
          <w:rFonts w:hint="eastAsia" w:ascii="仿宋_GB2312" w:hAnsi="宋体" w:eastAsia="仿宋_GB2312"/>
          <w:sz w:val="32"/>
          <w:szCs w:val="32"/>
        </w:rPr>
        <w:t>根据教育部下达的三年推荐额度，在规定的年度上限数额内推荐。</w:t>
      </w:r>
      <w:r>
        <w:rPr>
          <w:rFonts w:hint="eastAsia" w:ascii="仿宋_GB2312" w:hAnsi="微软雅黑" w:eastAsia="仿宋_GB2312"/>
          <w:sz w:val="32"/>
          <w:szCs w:val="32"/>
        </w:rPr>
        <w:t>教育部直属高校直接报教育部，其他中央部门所属高校</w:t>
      </w:r>
      <w:r>
        <w:rPr>
          <w:rFonts w:hint="eastAsia" w:ascii="仿宋_GB2312" w:hAnsi="微软雅黑" w:eastAsia="仿宋_GB2312"/>
          <w:sz w:val="32"/>
          <w:szCs w:val="32"/>
          <w:lang w:eastAsia="zh-CN"/>
        </w:rPr>
        <w:t>、部省合建高校</w:t>
      </w:r>
      <w:r>
        <w:rPr>
          <w:rFonts w:hint="eastAsia" w:ascii="仿宋_GB2312" w:hAnsi="微软雅黑" w:eastAsia="仿宋_GB2312"/>
          <w:sz w:val="32"/>
          <w:szCs w:val="32"/>
        </w:rPr>
        <w:t>经主管部门同意后报教育部；地方高校由省级教育行政部门统一报教育部。</w:t>
      </w:r>
    </w:p>
    <w:p>
      <w:pPr>
        <w:adjustRightInd w:val="0"/>
        <w:snapToGrid w:val="0"/>
        <w:spacing w:line="560" w:lineRule="exact"/>
        <w:ind w:firstLine="643" w:firstLineChars="200"/>
        <w:rPr>
          <w:rFonts w:ascii="楷体" w:hAnsi="楷体" w:eastAsia="楷体"/>
          <w:b/>
          <w:sz w:val="32"/>
          <w:szCs w:val="32"/>
        </w:rPr>
      </w:pPr>
      <w:r>
        <w:rPr>
          <w:rFonts w:hint="eastAsia" w:ascii="楷体" w:hAnsi="楷体" w:eastAsia="楷体"/>
          <w:b/>
          <w:sz w:val="32"/>
          <w:szCs w:val="32"/>
        </w:rPr>
        <w:t>（四）推荐材料要求</w:t>
      </w:r>
    </w:p>
    <w:p>
      <w:pPr>
        <w:adjustRightInd w:val="0"/>
        <w:snapToGrid w:val="0"/>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课程团队须提交申报书、时长</w:t>
      </w:r>
      <w:r>
        <w:rPr>
          <w:rFonts w:hint="eastAsia" w:ascii="Times New Roman" w:hAnsi="Times New Roman" w:eastAsia="仿宋_GB2312" w:cs="Times New Roman"/>
          <w:sz w:val="32"/>
          <w:szCs w:val="32"/>
        </w:rPr>
        <w:t>10分钟</w:t>
      </w:r>
      <w:r>
        <w:rPr>
          <w:rFonts w:hint="eastAsia" w:ascii="仿宋_GB2312" w:hAnsi="楷体" w:eastAsia="仿宋_GB2312"/>
          <w:sz w:val="32"/>
          <w:szCs w:val="32"/>
        </w:rPr>
        <w:t>内的说课视频（包括教学理念、课程设计、课程实施、改革成效等）和其他佐证材料。</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五、认定方式</w:t>
      </w:r>
    </w:p>
    <w:p>
      <w:pPr>
        <w:adjustRightInd w:val="0"/>
        <w:snapToGrid w:val="0"/>
        <w:spacing w:line="560" w:lineRule="exact"/>
        <w:ind w:firstLine="640" w:firstLineChars="200"/>
        <w:rPr>
          <w:rFonts w:ascii="仿宋_GB2312" w:hAnsi="楷体" w:eastAsia="仿宋_GB2312"/>
          <w:bCs/>
          <w:sz w:val="32"/>
          <w:szCs w:val="32"/>
        </w:rPr>
      </w:pPr>
      <w:r>
        <w:rPr>
          <w:rFonts w:hint="eastAsia" w:ascii="仿宋_GB2312" w:hAnsi="黑体" w:eastAsia="仿宋_GB2312"/>
          <w:bCs/>
          <w:sz w:val="32"/>
          <w:szCs w:val="32"/>
        </w:rPr>
        <w:t>教育部分年度组织专家对推荐课程进行认定，经公示后向社会发布。对</w:t>
      </w:r>
      <w:r>
        <w:rPr>
          <w:rFonts w:hint="eastAsia" w:ascii="仿宋_GB2312" w:hAnsi="楷体" w:eastAsia="仿宋_GB2312"/>
          <w:bCs/>
          <w:sz w:val="32"/>
          <w:szCs w:val="32"/>
        </w:rPr>
        <w:t>课程团队成员存在师德师风问题、学术不端问题、五年内出现过重大教学事故，课程内容存在思想性科学性问题</w:t>
      </w:r>
      <w:r>
        <w:rPr>
          <w:rFonts w:hint="eastAsia" w:ascii="仿宋_GB2312" w:hAnsi="楷体" w:eastAsia="仿宋_GB2312"/>
          <w:bCs/>
          <w:sz w:val="32"/>
          <w:szCs w:val="32"/>
          <w:lang w:eastAsia="zh-CN"/>
        </w:rPr>
        <w:t>的</w:t>
      </w:r>
      <w:r>
        <w:rPr>
          <w:rFonts w:hint="eastAsia" w:ascii="仿宋_GB2312" w:hAnsi="楷体" w:eastAsia="仿宋_GB2312"/>
          <w:bCs/>
          <w:sz w:val="32"/>
          <w:szCs w:val="32"/>
        </w:rPr>
        <w:t>，实行一票否决。</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六、认定课程</w:t>
      </w:r>
      <w:r>
        <w:rPr>
          <w:rFonts w:ascii="黑体" w:hAnsi="黑体" w:eastAsia="黑体"/>
          <w:sz w:val="32"/>
          <w:szCs w:val="32"/>
        </w:rPr>
        <w:t>管理</w:t>
      </w:r>
    </w:p>
    <w:p>
      <w:pPr>
        <w:adjustRightInd w:val="0"/>
        <w:snapToGrid w:val="0"/>
        <w:spacing w:line="560" w:lineRule="exact"/>
        <w:ind w:firstLine="640" w:firstLineChars="200"/>
        <w:rPr>
          <w:rFonts w:ascii="仿宋_GB2312" w:hAnsi="微软雅黑" w:eastAsia="仿宋_GB2312"/>
          <w:sz w:val="32"/>
          <w:szCs w:val="32"/>
        </w:rPr>
      </w:pPr>
      <w:r>
        <w:rPr>
          <w:rFonts w:hint="eastAsia" w:ascii="仿宋_GB2312" w:hAnsi="宋体" w:eastAsia="仿宋_GB2312"/>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w:t>
      </w:r>
      <w:r>
        <w:rPr>
          <w:rFonts w:hint="eastAsia" w:ascii="仿宋_GB2312" w:hAnsi="微软雅黑" w:eastAsia="仿宋_GB2312"/>
          <w:sz w:val="32"/>
          <w:szCs w:val="32"/>
        </w:rPr>
        <w:t>对于未持续更新完善、出现严重质量问题、课程团队成员出现师德师风等问题的课程，将予以撤销。</w:t>
      </w:r>
    </w:p>
    <w:p>
      <w:pPr>
        <w:adjustRightInd w:val="0"/>
        <w:snapToGrid w:val="0"/>
        <w:spacing w:line="560" w:lineRule="exact"/>
        <w:ind w:firstLine="640" w:firstLineChars="200"/>
        <w:rPr>
          <w:rFonts w:ascii="仿宋_GB2312" w:hAnsi="微软雅黑" w:eastAsia="仿宋_GB2312"/>
          <w:sz w:val="32"/>
          <w:szCs w:val="32"/>
        </w:rPr>
      </w:pPr>
    </w:p>
    <w:p>
      <w:pPr>
        <w:wordWrap w:val="0"/>
        <w:adjustRightInd w:val="0"/>
        <w:snapToGrid w:val="0"/>
        <w:spacing w:line="560" w:lineRule="exact"/>
        <w:ind w:firstLine="640" w:firstLineChars="200"/>
        <w:jc w:val="right"/>
        <w:rPr>
          <w:rFonts w:ascii="仿宋_GB2312" w:hAnsi="微软雅黑"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51AB"/>
    <w:multiLevelType w:val="singleLevel"/>
    <w:tmpl w:val="395651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9C"/>
    <w:rsid w:val="001278AF"/>
    <w:rsid w:val="001F52E8"/>
    <w:rsid w:val="00324C73"/>
    <w:rsid w:val="00355933"/>
    <w:rsid w:val="0036210A"/>
    <w:rsid w:val="00393184"/>
    <w:rsid w:val="00405D9C"/>
    <w:rsid w:val="004353DD"/>
    <w:rsid w:val="004465D4"/>
    <w:rsid w:val="00501B7E"/>
    <w:rsid w:val="00507F01"/>
    <w:rsid w:val="00525911"/>
    <w:rsid w:val="00563AB2"/>
    <w:rsid w:val="00642DA1"/>
    <w:rsid w:val="00651C2E"/>
    <w:rsid w:val="006701DF"/>
    <w:rsid w:val="00672011"/>
    <w:rsid w:val="007160C4"/>
    <w:rsid w:val="007E2DB5"/>
    <w:rsid w:val="007E5F5F"/>
    <w:rsid w:val="00827B52"/>
    <w:rsid w:val="00870A1B"/>
    <w:rsid w:val="008E6349"/>
    <w:rsid w:val="009646BE"/>
    <w:rsid w:val="00A60A03"/>
    <w:rsid w:val="00A70EDB"/>
    <w:rsid w:val="00A972C2"/>
    <w:rsid w:val="00AC687E"/>
    <w:rsid w:val="00AD00DE"/>
    <w:rsid w:val="00B40106"/>
    <w:rsid w:val="00B553B1"/>
    <w:rsid w:val="00CA441E"/>
    <w:rsid w:val="00CD2D21"/>
    <w:rsid w:val="00DF0307"/>
    <w:rsid w:val="00E800FC"/>
    <w:rsid w:val="067B7F96"/>
    <w:rsid w:val="1F0B38D8"/>
    <w:rsid w:val="30F80CF4"/>
    <w:rsid w:val="42CA0359"/>
    <w:rsid w:val="47AD752D"/>
    <w:rsid w:val="54674077"/>
    <w:rsid w:val="5B984529"/>
    <w:rsid w:val="5ED52A01"/>
    <w:rsid w:val="66B7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b/>
      <w:bCs/>
      <w:kern w:val="44"/>
      <w:sz w:val="44"/>
      <w:szCs w:val="44"/>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页脚 Char"/>
    <w:basedOn w:val="8"/>
    <w:link w:val="5"/>
    <w:qFormat/>
    <w:uiPriority w:val="99"/>
    <w:rPr>
      <w:sz w:val="18"/>
      <w:szCs w:val="18"/>
    </w:rPr>
  </w:style>
  <w:style w:type="character" w:customStyle="1" w:styleId="12">
    <w:name w:val="标题 2 字符"/>
    <w:basedOn w:val="8"/>
    <w:qFormat/>
    <w:uiPriority w:val="9"/>
    <w:rPr>
      <w:rFonts w:asciiTheme="majorHAnsi" w:hAnsiTheme="majorHAnsi" w:eastAsiaTheme="majorEastAsia" w:cstheme="majorBidi"/>
      <w:b/>
      <w:bCs/>
      <w:sz w:val="32"/>
      <w:szCs w:val="32"/>
    </w:rPr>
  </w:style>
  <w:style w:type="character" w:customStyle="1" w:styleId="13">
    <w:name w:val="页眉 Char"/>
    <w:basedOn w:val="8"/>
    <w:link w:val="6"/>
    <w:uiPriority w:val="99"/>
    <w:rPr>
      <w:sz w:val="18"/>
      <w:szCs w:val="18"/>
    </w:rPr>
  </w:style>
  <w:style w:type="character" w:customStyle="1" w:styleId="14">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850</Words>
  <Characters>4846</Characters>
  <Lines>40</Lines>
  <Paragraphs>11</Paragraphs>
  <TotalTime>3</TotalTime>
  <ScaleCrop>false</ScaleCrop>
  <LinksUpToDate>false</LinksUpToDate>
  <CharactersWithSpaces>5685</CharactersWithSpaces>
  <Application>WPS Office_11.8.2.8621_F1E327BC-269C-435d-A152-05C5408002CA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2019-10-09T08:16:00Z</dcterms:created>
  <dc:creator>Windows 用户</dc:creator>
  <cp:lastModifiedBy>成雷鸣</cp:lastModifiedBy>
  <cp:lastPrinted>2019-10-09T09:06:00Z</cp:lastPrinted>
  <dcterms:modified xsi:type="dcterms:W3CDTF">2019-10-29T02:17:42Z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